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2</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29 de octubre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19:00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1"/>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0d0d0d"/>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r w:rsidDel="00000000" w:rsidR="00000000" w:rsidRPr="00000000">
        <w:rPr>
          <w:rtl w:val="0"/>
        </w:rPr>
      </w:r>
    </w:p>
    <w:p w:rsidR="00000000" w:rsidDel="00000000" w:rsidP="00000000" w:rsidRDefault="00000000" w:rsidRPr="00000000" w14:paraId="00000012">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Modificación de Artefacto de Gestión de Cambios</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El artefacto desarrollado hasta el momento abarca un análisis de cambios de tipo cualitativo. Se evalúa el impacto funcional en cuanto a las funcionalidades impactadas y las historias de usuario alcanzadas por este cambio.</w:t>
      </w:r>
    </w:p>
    <w:p w:rsidR="00000000" w:rsidDel="00000000" w:rsidP="00000000" w:rsidRDefault="00000000" w:rsidRPr="00000000" w14:paraId="0000001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acordó añadir, para el próximo sprint el  análisis cuantitativo relacionado a los posibles cambios. El alcance de este análisis abarca el impacto en tiempos, puntos de historias de usuario y costo del cambio. Se calculará el costo según las horas asociadas a realizar las modificaciones necesarias. Teniendo en cuenta que el costo de nuestro proyecto se realizó según un modelo Fixed Price, el costo de cada cambio se considerará como un incremento o extra a cobrar al cliente, además del precio fijo ya acordado.</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deberá estructurar como un forms. Como último punto, se deberá añadir la decisión, una vez que el cambio fue analizado por el comité de cambios.</w:t>
      </w:r>
    </w:p>
    <w:p w:rsidR="00000000" w:rsidDel="00000000" w:rsidP="00000000" w:rsidRDefault="00000000" w:rsidRPr="00000000" w14:paraId="00000016">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Modificación de la Presentación - Sección Retro Sprint</w:t>
      </w:r>
    </w:p>
    <w:p w:rsidR="00000000" w:rsidDel="00000000" w:rsidP="00000000" w:rsidRDefault="00000000" w:rsidRPr="00000000" w14:paraId="0000001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deberán colocar subtítulos que identifiquen los aspectos positivos y negativos en la retro del sprint.</w:t>
      </w:r>
    </w:p>
    <w:p w:rsidR="00000000" w:rsidDel="00000000" w:rsidP="00000000" w:rsidRDefault="00000000" w:rsidRPr="00000000" w14:paraId="00000018">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Rechazo de publicaciones por parte del administrador</w:t>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En cuanto a la funcionalidad asociada a los usuarios administradores, para rechazar publicaciones que se encuentran en revisión de usuarios premium, se deberá agregar un comentario de parte del administrador sobre por qué se decidió rechazar dicha publicación.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