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数学验证</w:t>
      </w:r>
    </w:p>
    <w:p>
      <w:pPr>
        <w:pStyle w:val="Heading1"/>
      </w:pPr>
      <w:r>
        <w:t>数学公式测试</w:t>
      </w:r>
    </w:p>
    <w:p>
      <w:r>
        <w:t>行内公式：</w:t>
      </w:r>
      <m:oMath>
        <m:r>
          <m:rPr>
            <m:sty m:val="p"/>
          </m:rPr>
          <m:t xml:space="preserve">E = m</m:t>
        </m:r>
        <m:sSup>
          <m:sSupPr>
            <m:ctrlPr/>
          </m:sSupPr>
          <m:e>
            <m:r>
              <m:rPr>
                <m:sty m:val="p"/>
              </m:rPr>
              <m:t xml:space="preserve">c</m:t>
            </m:r>
          </m:e>
          <m:sup>
            <m:r>
              <m:rPr>
                <m:sty m:val="p"/>
              </m:rPr>
              <m:t xml:space="preserve">2</m:t>
            </m:r>
          </m:sup>
        </m:sSup>
      </m:oMath>
    </w:p>
    <w:p>
      <w:r>
        <w:t>行内复杂公式：</w:t>
      </w:r>
      <m:oMath>
        <m:f>
          <m:num>
            <m:r>
              <m:rPr>
                <m:sty m:val="p"/>
              </m:rPr>
              <m:t xml:space="preserve">d</m:t>
            </m:r>
          </m:num>
          <m:den>
            <m:r>
              <m:rPr>
                <m:sty m:val="p"/>
              </m:rPr>
              <m:t xml:space="preserve">dx</m:t>
            </m:r>
          </m:den>
        </m:f>
        <m:r>
          <m:rPr>
            <m:sty m:val="p"/>
          </m:rPr>
          <m:t xml:space="preserve">sin</m:t>
        </m:r>
        <m:r>
          <m:rPr>
            <m:sty m:val="p"/>
          </m:rPr>
          <m:t xml:space="preserve">x =</m:t>
        </m:r>
        <m:r>
          <m:rPr>
            <m:sty m:val="p"/>
          </m:rPr>
          <m:t xml:space="preserve">cos</m:t>
        </m:r>
        <m:r>
          <m:rPr>
            <m:sty m:val="p"/>
          </m:rPr>
          <m:t xml:space="preserve">x</m:t>
        </m:r>
      </m:oMath>
    </w:p>
    <w:p>
      <w:r>
        <w:t>块级公式：</w:t>
      </w:r>
    </w:p>
    <w:p>
      <w:pPr>
        <w:jc w:val="center"/>
      </w:pPr>
      <m:oMathPara>
        <m:oMathParaPr>
          <m:jc m:val="center"/>
        </m:oMathParaPr>
        <m:oMath>
          <m:r>
            <m:rPr>
              <m:sty m:val="p"/>
            </m:rPr>
            <m:t xml:space="preserve">i</m:t>
          </m:r>
          <m:r>
            <m:rPr>
              <m:sty m:val="p"/>
            </m:rPr>
            <m:t xml:space="preserve">hbar</m:t>
          </m:r>
          <m:f>
            <m:num>
              <m:r>
                <m:rPr>
                  <m:sty m:val="p"/>
                </m:rPr>
                <m:t xml:space="preserve">∂</m:t>
              </m:r>
              <m:r>
                <m:rPr>
                  <m:sty m:val="p"/>
                </m:rPr>
                <m:t xml:space="preserve">ψ</m:t>
              </m:r>
            </m:num>
            <m:den>
              <m:r>
                <m:rPr>
                  <m:sty m:val="p"/>
                </m:rPr>
                <m:t xml:space="preserve">∂</m:t>
              </m:r>
              <m:r>
                <m:rPr>
                  <m:sty m:val="p"/>
                </m:rPr>
                <m:t xml:space="preserve">t</m:t>
              </m:r>
            </m:den>
          </m:f>
          <m:r>
            <m:rPr>
              <m:sty m:val="p"/>
            </m:rPr>
            <m:t xml:space="preserve">=</m:t>
          </m:r>
          <m:acc>
            <m:accPr>
              <m:chr m:val="ˆ"/>
            </m:accPr>
            <m:e>
              <m:r>
                <m:rPr>
                  <m:sty m:val="p"/>
                </m:rPr>
                <m:t xml:space="preserve">H</m:t>
              </m:r>
            </m:e>
          </m:acc>
          <m:r>
            <m:rPr>
              <m:sty m:val="p"/>
            </m:rPr>
            <m:t xml:space="preserve">ψ</m:t>
          </m:r>
        </m:oMath>
      </m:oMathPara>
    </w:p>
    <w:p>
      <w:r>
        <w:t>矩阵：</w:t>
      </w:r>
    </w:p>
    <w:p>
      <w:pPr>
        <w:jc w:val="center"/>
      </w:pPr>
      <m:oMathPara>
        <m:oMathParaPr>
          <m:jc m:val="center"/>
        </m:oMathParaPr>
        <m:oMath>
          <m:r>
            <m:rPr>
              <m:sty m:val="p"/>
            </m:rPr>
            <m:t xml:space="preserve">$$</m:t>
          </m:r>
          <m:r>
            <m:rPr>
              <m:sty m:val="p"/>
            </m:rPr>
            <m:t xml:space="preserve">begin</m:t>
          </m:r>
          <m:r>
            <m:rPr>
              <m:sty m:val="p"/>
            </m:rPr>
            <m:t xml:space="preserve">pmatrix</m:t>
          </m:r>
          <m:r>
            <m:rPr>
              <m:sty m:val="p"/>
            </m:rPr>
            <m:t xml:space="preserve">a &amp; b</m:t>
          </m:r>
          <m:r>
            <m:rPr>
              <m:sty m:val="p"/>
            </m:rPr>
            <m:t xml:space="preserve">\</m:t>
          </m:r>
          <m:r>
            <m:rPr>
              <m:sty m:val="p"/>
            </m:rPr>
            <m:t xml:space="preserve">c &amp; d</m:t>
          </m:r>
          <m:r>
            <m:rPr>
              <m:sty m:val="p"/>
            </m:rPr>
            <m:t xml:space="preserve">end</m:t>
          </m:r>
          <m:r>
            <m:rPr>
              <m:sty m:val="p"/>
            </m:rPr>
            <m:t xml:space="preserve">pmatrix</m:t>
          </m:r>
          <m:r>
            <m:rPr>
              <m:sty m:val="p"/>
            </m:rPr>
            <m:t xml:space="preserve">$$</m:t>
          </m:r>
        </m:oMath>
      </m:oMathPara>
    </w:p>
    <w:p>
      <w:r>
        <w:t>列表含公式：</w:t>
      </w:r>
    </w:p>
    <w:p>
      <w:pPr>
        <w:pStyle w:val="ListBullet"/>
      </w:pPr>
      <w:r>
        <w:t xml:space="preserve">万有引力 </w:t>
      </w:r>
      <m:oMath>
        <m:r>
          <m:rPr>
            <m:sty m:val="p"/>
          </m:rPr>
          <m:t xml:space="preserve">F = G</m:t>
        </m:r>
        <m:f>
          <m:num>
            <m:sSub>
              <m:sSubPr>
                <m:ctrlPr/>
              </m:sSubPr>
              <m:e>
                <m:r>
                  <m:rPr>
                    <m:sty m:val="p"/>
                  </m:rPr>
                  <m:t xml:space="preserve">m</m:t>
                </m:r>
              </m:e>
              <m:sub>
                <m:r>
                  <m:rPr>
                    <m:sty m:val="p"/>
                  </m:rPr>
                  <m:t xml:space="preserve">1</m:t>
                </m:r>
              </m:sub>
            </m:sSub>
            <m:sSub>
              <m:sSubPr>
                <m:ctrlPr/>
              </m:sSubPr>
              <m:e>
                <m:r>
                  <m:rPr>
                    <m:sty m:val="p"/>
                  </m:rPr>
                  <m:t xml:space="preserve">m</m:t>
                </m:r>
              </m:e>
              <m:sub>
                <m:r>
                  <m:rPr>
                    <m:sty m:val="p"/>
                  </m:rPr>
                  <m:t xml:space="preserve">2</m:t>
                </m:r>
              </m:sub>
            </m:sSub>
          </m:num>
          <m:den>
            <m:sSup>
              <m:sSupPr>
                <m:ctrlPr/>
              </m:sSupPr>
              <m:e>
                <m:r>
                  <m:rPr>
                    <m:sty m:val="p"/>
                  </m:rPr>
                  <m:t xml:space="preserve">r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</m:den>
        </m:f>
      </m:oMath>
    </w:p>
    <w:p>
      <w:pPr>
        <w:pStyle w:val="ListBullet"/>
      </w:pPr>
      <w:r>
        <w:t xml:space="preserve">欧拉公式 </w:t>
      </w:r>
      <m:oMath>
        <m:sSup>
          <m:sSupPr>
            <m:ctrlPr/>
          </m:sSupPr>
          <m:e>
            <m:r>
              <m:rPr>
                <m:sty m:val="p"/>
              </m:rPr>
              <m:t xml:space="preserve">e</m:t>
            </m:r>
          </m:e>
          <m:sup>
            <m:r>
              <m:rPr>
                <m:sty m:val="p"/>
              </m:rPr>
              <m:t xml:space="preserve">i</m:t>
            </m:r>
            <m:r>
              <m:rPr>
                <m:sty m:val="p"/>
              </m:rPr>
              <m:t xml:space="preserve">π</m:t>
            </m:r>
          </m:sup>
        </m:sSup>
        <m:r>
          <m:rPr>
            <m:sty m:val="p"/>
          </m:rPr>
          <m:t xml:space="preserve">+ 1 = 0</m:t>
        </m:r>
      </m:oMath>
    </w:p>
    <w:p>
      <w:pPr>
        <w:pStyle w:val="ListBullet"/>
      </w:pPr>
      <w:r>
        <w:t xml:space="preserve">不确定原理 </w:t>
      </w:r>
      <m:oMath>
        <m:r>
          <m:rPr>
            <m:sty m:val="p"/>
          </m:rPr>
          <m:t xml:space="preserve">Δ</m:t>
        </m:r>
        <m:r>
          <m:rPr>
            <m:sty m:val="p"/>
          </m:rPr>
          <m:t xml:space="preserve">x</m:t>
        </m:r>
        <m:r>
          <m:rPr>
            <m:sty m:val="p"/>
          </m:rPr>
          <m:t xml:space="preserve">·</m:t>
        </m:r>
        <m:r>
          <m:rPr>
            <m:sty m:val="p"/>
          </m:rPr>
          <m:t xml:space="preserve">Δ</m:t>
        </m:r>
        <m:r>
          <m:rPr>
            <m:sty m:val="p"/>
          </m:rPr>
          <m:t xml:space="preserve">p</m:t>
        </m:r>
        <m:r>
          <m:rPr>
            <m:sty m:val="p"/>
          </m:rPr>
          <m:t xml:space="preserve">≥</m:t>
        </m:r>
        <m:r>
          <m:rPr>
            <m:sty m:val="p"/>
          </m:rPr>
          <m:t xml:space="preserve">hbar</m:t>
        </m:r>
        <m:r>
          <m:rPr>
            <m:sty m:val="p"/>
          </m:rPr>
          <m:t xml:space="preserve">/2</m:t>
        </m:r>
      </m:oMath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