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44"/>
          <w:szCs w:val="44"/>
        </w:rPr>
        <w:t xml:space="preserve">FIXNET</w:t>
      </w:r>
    </w:p>
    <w:p>
      <w:pPr>
        <w:spacing w:after="200"/>
      </w:pPr>
      <w:r>
        <w:rPr>
          <w:rFonts w:ascii="Calibri" w:cs="Calibri" w:eastAsia="Calibri" w:hAnsi="Calibri"/>
          <w:color w:val="5A5A5A"/>
          <w:sz w:val="22"/>
          <w:szCs w:val="22"/>
        </w:rPr>
        <w:t xml:space="preserve">Local Technician &amp; Spare-Parts Services Marketplace</w:t>
      </w:r>
    </w:p>
    <w:p>
      <w:pPr>
        <w:pBdr>
          <w:bottom w:val="single" w:color="2E6F8E" w:sz="12" w:space="6"/>
        </w:pBdr>
        <w:spacing w:after="240"/>
      </w:pPr>
      <w:r>
        <w:rPr>
          <w:sz w:val="2"/>
          <w:szCs w:val="2"/>
        </w:rPr>
        <w:t xml:space="preserve"/>
      </w:r>
    </w:p>
    <w:p>
      <w:pPr>
        <w:spacing w:after="60"/>
      </w:pPr>
      <w:r>
        <w:rPr>
          <w:rFonts w:ascii="Calibri" w:cs="Calibri" w:eastAsia="Calibri" w:hAnsi="Calibri"/>
          <w:b/>
          <w:bCs/>
          <w:color w:val="1F3A5F"/>
          <w:sz w:val="36"/>
          <w:szCs w:val="36"/>
        </w:rPr>
        <w:t xml:space="preserve">Error Handling &amp; Logging Strategy</w:t>
      </w:r>
    </w:p>
    <w:p>
      <w:pPr>
        <w:spacing w:after="300"/>
      </w:pPr>
      <w:r>
        <w:rPr>
          <w:rFonts w:ascii="Calibri" w:cs="Calibri" w:eastAsia="Calibri" w:hAnsi="Calibri"/>
          <w:i/>
          <w:iCs/>
          <w:color w:val="5A5A5A"/>
          <w:sz w:val="22"/>
          <w:szCs w:val="22"/>
        </w:rPr>
        <w:t xml:space="preserve">Companion to the Software Requirements Specification (SRS) v1.0</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Field</w:t>
            </w:r>
          </w:p>
        </w:tc>
        <w:tc>
          <w:tcPr>
            <w:tcW w:type="dxa" w:w="70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Details</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Document</w:t>
            </w:r>
          </w:p>
        </w:tc>
        <w:tc>
          <w:tcPr>
            <w:tcW w:type="dxa" w:w="7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Error Handling &amp; Logging Strategy</w:t>
            </w:r>
          </w:p>
        </w:tc>
      </w:tr>
      <w:tr>
        <w:tc>
          <w:tcPr>
            <w:tcW w:type="dxa" w:w="2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Derived From</w:t>
            </w:r>
          </w:p>
        </w:tc>
        <w:tc>
          <w:tcPr>
            <w:tcW w:type="dxa" w:w="70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FixNet SRS v1.0 (August 2026)</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Version</w:t>
            </w:r>
          </w:p>
        </w:tc>
        <w:tc>
          <w:tcPr>
            <w:tcW w:type="dxa" w:w="7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1.0</w:t>
            </w:r>
          </w:p>
        </w:tc>
      </w:tr>
      <w:tr>
        <w:tc>
          <w:tcPr>
            <w:tcW w:type="dxa" w:w="2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Date</w:t>
            </w:r>
          </w:p>
        </w:tc>
        <w:tc>
          <w:tcPr>
            <w:tcW w:type="dxa" w:w="70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August 2026</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Status</w:t>
            </w:r>
          </w:p>
        </w:tc>
        <w:tc>
          <w:tcPr>
            <w:tcW w:type="dxa" w:w="7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Draft — Pending Engineering Sign-off</w:t>
            </w:r>
          </w:p>
        </w:tc>
      </w:tr>
      <w:tr>
        <w:tc>
          <w:tcPr>
            <w:tcW w:type="dxa" w:w="2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Scope</w:t>
            </w:r>
          </w:p>
        </w:tc>
        <w:tc>
          <w:tcPr>
            <w:tcW w:type="dxa" w:w="70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Customer App · Technician App · FixNet Admin Portal · Backend API · Background Jobs</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Prepared by</w:t>
            </w:r>
          </w:p>
        </w:tc>
        <w:tc>
          <w:tcPr>
            <w:tcW w:type="dxa" w:w="7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FixNet Product &amp; Engineering Team</w:t>
            </w:r>
          </w:p>
        </w:tc>
      </w:tr>
    </w:tbl>
    <w:p>
      <w:r>
        <w:br w:type="page"/>
      </w:r>
    </w:p>
    <w:p>
      <w:pPr>
        <w:pStyle w:val="Heading1"/>
        <w:pBdr>
          <w:bottom w:val="single" w:color="1F3A5F" w:sz="8" w:space="4"/>
        </w:pBdr>
        <w:spacing w:after="200" w:before="400"/>
      </w:pPr>
      <w:r>
        <w:rPr>
          <w:rFonts w:ascii="Calibri" w:cs="Calibri" w:eastAsia="Calibri" w:hAnsi="Calibri"/>
          <w:b/>
          <w:bCs/>
          <w:color w:val="1F3A5F"/>
          <w:sz w:val="30"/>
          <w:szCs w:val="30"/>
        </w:rPr>
        <w:t xml:space="preserve">1. Purpose &amp; Scope</w:t>
      </w:r>
    </w:p>
    <w:p>
      <w:pPr>
        <w:spacing w:after="160" w:line="276"/>
      </w:pPr>
      <w:r>
        <w:rPr>
          <w:rFonts w:ascii="Calibri" w:cs="Calibri" w:eastAsia="Calibri" w:hAnsi="Calibri"/>
          <w:b w:val="false"/>
          <w:bCs w:val="false"/>
          <w:i w:val="false"/>
          <w:iCs w:val="false"/>
          <w:color w:val="1A1A1A"/>
          <w:sz w:val="21"/>
          <w:szCs w:val="21"/>
        </w:rPr>
        <w:t xml:space="preserve">This document defines how FixNet detects, handles, logs, and recovers from errors across all three portals (Customer App, Technician App, Admin Portal) and the backend services that support them. It translates the reliability and monitoring expectations already stated in the SRS — REQ-NFR-001 through REQ-NFR-004, the payment-failure rules in REQ-PAY-004/005, the security rules in REQ-SEC-001/002, and the "Sentry + server metrics" go-live requirement (Section 15.2, item 9) — into a concrete, engineering-ready strategy.</w:t>
      </w:r>
    </w:p>
    <w:p>
      <w:pPr>
        <w:spacing w:after="160" w:line="276"/>
      </w:pPr>
      <w:r>
        <w:rPr>
          <w:rFonts w:ascii="Calibri" w:cs="Calibri" w:eastAsia="Calibri" w:hAnsi="Calibri"/>
          <w:b w:val="false"/>
          <w:bCs w:val="false"/>
          <w:i w:val="false"/>
          <w:iCs w:val="false"/>
          <w:color w:val="1A1A1A"/>
          <w:sz w:val="21"/>
          <w:szCs w:val="21"/>
        </w:rPr>
        <w:t xml:space="preserve">It applies to every component in the SRS technology stack: the Django/DRF backend, the Flutter Customer and Technician apps, the React Admin Portal, Celery/Redis background jobs, Django Channels/WebSockets chat, and all external integrations (Mobile Money, card gateway, SMS, FCM, the LLM/RAG assistant, maps, and ClamAV).</w:t>
      </w:r>
    </w:p>
    <w:p>
      <w:pPr>
        <w:pBdr>
          <w:left w:val="single" w:color="2E6F8E" w:sz="16" w:space="8"/>
        </w:pBdr>
        <w:spacing w:after="200" w:before="100"/>
        <w:ind w:left="200"/>
      </w:pPr>
      <w:r>
        <w:rPr>
          <w:rFonts w:ascii="Calibri" w:cs="Calibri" w:eastAsia="Calibri" w:hAnsi="Calibri"/>
          <w:i/>
          <w:iCs/>
          <w:color w:val="5A5A5A"/>
          <w:sz w:val="20"/>
          <w:szCs w:val="20"/>
        </w:rPr>
        <w:t xml:space="preserve">ℹ This is a companion document. It does not replace or renumber the SRS; requirement IDs referenced below (REQ-NFR-xxx, REQ-PAY-xxx, REQ-SEC-xxx) are the same IDs used in the SRS, Sections 9–10.</w:t>
      </w:r>
    </w:p>
    <w:p>
      <w:pPr>
        <w:pStyle w:val="Heading1"/>
        <w:pBdr>
          <w:bottom w:val="single" w:color="1F3A5F" w:sz="8" w:space="4"/>
        </w:pBdr>
        <w:spacing w:after="200" w:before="400"/>
      </w:pPr>
      <w:r>
        <w:rPr>
          <w:rFonts w:ascii="Calibri" w:cs="Calibri" w:eastAsia="Calibri" w:hAnsi="Calibri"/>
          <w:b/>
          <w:bCs/>
          <w:color w:val="1F3A5F"/>
          <w:sz w:val="30"/>
          <w:szCs w:val="30"/>
        </w:rPr>
        <w:t xml:space="preserve">2. Guiding Principles</w:t>
      </w:r>
    </w:p>
    <w:p>
      <w:pPr>
        <w:pStyle w:val="ListParagraph"/>
        <w:numPr>
          <w:ilvl w:val="0"/>
          <w:numId w:val="2"/>
        </w:numPr>
        <w:spacing w:after="80"/>
      </w:pPr>
      <w:r>
        <w:rPr>
          <w:rFonts w:ascii="Calibri" w:cs="Calibri" w:eastAsia="Calibri" w:hAnsi="Calibri"/>
          <w:color w:val="1A1A1A"/>
          <w:sz w:val="21"/>
          <w:szCs w:val="21"/>
        </w:rPr>
        <w:t xml:space="preserve">Fail gracefully, never silently. Every external call (SMS, payment, AI, maps, push) MUST run as a background task and MUST NOT block the user-facing screen, per REQ-NFR-004; if a service is down, the user sees a clear, localised message rather than a frozen screen or a raw error.</w:t>
      </w:r>
    </w:p>
    <w:p>
      <w:pPr>
        <w:pStyle w:val="ListParagraph"/>
        <w:numPr>
          <w:ilvl w:val="0"/>
          <w:numId w:val="2"/>
        </w:numPr>
        <w:spacing w:after="80"/>
      </w:pPr>
      <w:r>
        <w:rPr>
          <w:rFonts w:ascii="Calibri" w:cs="Calibri" w:eastAsia="Calibri" w:hAnsi="Calibri"/>
          <w:color w:val="1A1A1A"/>
          <w:sz w:val="21"/>
          <w:szCs w:val="21"/>
        </w:rPr>
        <w:t xml:space="preserve">No error should ever expose contact details or payment confirmation before it is genuinely earned. Per REQ-PAY-004, a failed or timed-out payment MUST NOT unlock contact details, even partially.</w:t>
      </w:r>
    </w:p>
    <w:p>
      <w:pPr>
        <w:pStyle w:val="ListParagraph"/>
        <w:numPr>
          <w:ilvl w:val="0"/>
          <w:numId w:val="2"/>
        </w:numPr>
        <w:spacing w:after="80"/>
      </w:pPr>
      <w:r>
        <w:rPr>
          <w:rFonts w:ascii="Calibri" w:cs="Calibri" w:eastAsia="Calibri" w:hAnsi="Calibri"/>
          <w:color w:val="1A1A1A"/>
          <w:sz w:val="21"/>
          <w:szCs w:val="21"/>
        </w:rPr>
        <w:t xml:space="preserve">Every error is logged before it is shown to the user, and every log entry carries enough context (request ID, user ID, portal, endpoint) to reconstruct what happened without needing to ask the user.</w:t>
      </w:r>
    </w:p>
    <w:p>
      <w:pPr>
        <w:pStyle w:val="ListParagraph"/>
        <w:numPr>
          <w:ilvl w:val="0"/>
          <w:numId w:val="2"/>
        </w:numPr>
        <w:spacing w:after="80"/>
      </w:pPr>
      <w:r>
        <w:rPr>
          <w:rFonts w:ascii="Calibri" w:cs="Calibri" w:eastAsia="Calibri" w:hAnsi="Calibri"/>
          <w:color w:val="1A1A1A"/>
          <w:sz w:val="21"/>
          <w:szCs w:val="21"/>
        </w:rPr>
        <w:t xml:space="preserve">Personal data and secrets are never written to logs in plain text (aligned with REQ-SEC-001, REQ-SEC-002, and Rwanda's Law N° 058/2021 on data protection, REQ-SEC-003).</w:t>
      </w:r>
    </w:p>
    <w:p>
      <w:pPr>
        <w:pStyle w:val="ListParagraph"/>
        <w:numPr>
          <w:ilvl w:val="0"/>
          <w:numId w:val="2"/>
        </w:numPr>
        <w:spacing w:after="80"/>
      </w:pPr>
      <w:r>
        <w:rPr>
          <w:rFonts w:ascii="Calibri" w:cs="Calibri" w:eastAsia="Calibri" w:hAnsi="Calibri"/>
          <w:color w:val="1A1A1A"/>
          <w:sz w:val="21"/>
          <w:szCs w:val="21"/>
        </w:rPr>
        <w:t xml:space="preserve">Retries are automatic and bounded wherever an operation is safely repeatable (SMS delivery, subscription billing); retries are never automatic where they could double-charge a customer or duplicate a booking.</w:t>
      </w:r>
    </w:p>
    <w:p>
      <w:pPr>
        <w:pStyle w:val="Heading1"/>
        <w:pBdr>
          <w:bottom w:val="single" w:color="1F3A5F" w:sz="8" w:space="4"/>
        </w:pBdr>
        <w:spacing w:after="200" w:before="400"/>
      </w:pPr>
      <w:r>
        <w:rPr>
          <w:rFonts w:ascii="Calibri" w:cs="Calibri" w:eastAsia="Calibri" w:hAnsi="Calibri"/>
          <w:b/>
          <w:bCs/>
          <w:color w:val="1F3A5F"/>
          <w:sz w:val="30"/>
          <w:szCs w:val="30"/>
        </w:rPr>
        <w:t xml:space="preserve">3. Error Classification</w:t>
      </w:r>
    </w:p>
    <w:p>
      <w:pPr>
        <w:spacing w:after="160" w:line="276"/>
      </w:pPr>
      <w:r>
        <w:rPr>
          <w:rFonts w:ascii="Calibri" w:cs="Calibri" w:eastAsia="Calibri" w:hAnsi="Calibri"/>
          <w:b w:val="false"/>
          <w:bCs w:val="false"/>
          <w:i w:val="false"/>
          <w:iCs w:val="false"/>
          <w:color w:val="1A1A1A"/>
          <w:sz w:val="21"/>
          <w:szCs w:val="21"/>
        </w:rPr>
        <w:t xml:space="preserve">Errors are grouped into five categories so that logging, alerting, and ownership are consistent regardless of which portal or service raised them.</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20"/>
      </w:tblGrid>
      <w:tr>
        <w:trPr>
          <w:tblHeader/>
        </w:trPr>
        <w:tc>
          <w:tcPr>
            <w:tcW w:type="dxa" w:w="24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Category</w:t>
            </w:r>
          </w:p>
        </w:tc>
        <w:tc>
          <w:tcPr>
            <w:tcW w:type="dxa" w:w="42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Examples</w:t>
            </w:r>
          </w:p>
        </w:tc>
        <w:tc>
          <w:tcPr>
            <w:tcW w:type="dxa" w:w="28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Typical Source</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Client / Input Errors</w:t>
            </w:r>
          </w:p>
        </w:tc>
        <w:tc>
          <w:tcPr>
            <w:tcW w:type="dxa" w:w="42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Invalid OTP format</w:t>
            </w:r>
          </w:p>
          <w:p>
            <w:pPr>
              <w:spacing w:after="0"/>
            </w:pPr>
            <w:r>
              <w:rPr>
                <w:rFonts w:ascii="Calibri" w:cs="Calibri" w:eastAsia="Calibri" w:hAnsi="Calibri"/>
                <w:b w:val="false"/>
                <w:bCs w:val="false"/>
                <w:color w:val="1A1A1A"/>
                <w:sz w:val="20"/>
                <w:szCs w:val="20"/>
              </w:rPr>
              <w:t xml:space="preserve">Missing required registration field</w:t>
            </w:r>
          </w:p>
          <w:p>
            <w:pPr>
              <w:spacing w:after="0"/>
            </w:pPr>
            <w:r>
              <w:rPr>
                <w:rFonts w:ascii="Calibri" w:cs="Calibri" w:eastAsia="Calibri" w:hAnsi="Calibri"/>
                <w:b w:val="false"/>
                <w:bCs w:val="false"/>
                <w:color w:val="1A1A1A"/>
                <w:sz w:val="20"/>
                <w:szCs w:val="20"/>
              </w:rPr>
              <w:t xml:space="preserve">Malformed quote amount</w:t>
            </w:r>
          </w:p>
        </w:tc>
        <w:tc>
          <w:tcPr>
            <w:tcW w:type="dxa" w:w="28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Customer App, Technician App, Admin Portal, DRF serializers (REQ-SEC-004)</w:t>
            </w:r>
          </w:p>
        </w:tc>
      </w:tr>
      <w:tr>
        <w:tc>
          <w:tcPr>
            <w:tcW w:type="dxa" w:w="2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Business Rule Violations</w:t>
            </w:r>
          </w:p>
        </w:tc>
        <w:tc>
          <w:tcPr>
            <w:tcW w:type="dxa" w:w="42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Attempt to view phone number before deposit paid</w:t>
            </w:r>
          </w:p>
          <w:p>
            <w:pPr>
              <w:spacing w:after="0"/>
            </w:pPr>
            <w:r>
              <w:rPr>
                <w:rFonts w:ascii="Calibri" w:cs="Calibri" w:eastAsia="Calibri" w:hAnsi="Calibri"/>
                <w:b w:val="false"/>
                <w:bCs w:val="false"/>
                <w:color w:val="1A1A1A"/>
                <w:sz w:val="20"/>
                <w:szCs w:val="20"/>
              </w:rPr>
              <w:t xml:space="preserve">Quote accepted after expiry window</w:t>
            </w:r>
          </w:p>
          <w:p>
            <w:pPr>
              <w:spacing w:after="0"/>
            </w:pPr>
            <w:r>
              <w:rPr>
                <w:rFonts w:ascii="Calibri" w:cs="Calibri" w:eastAsia="Calibri" w:hAnsi="Calibri"/>
                <w:b w:val="false"/>
                <w:bCs w:val="false"/>
                <w:color w:val="1A1A1A"/>
                <w:sz w:val="20"/>
                <w:szCs w:val="20"/>
              </w:rPr>
              <w:t xml:space="preserve">Technician replying while suspended</w:t>
            </w:r>
          </w:p>
        </w:tc>
        <w:tc>
          <w:tcPr>
            <w:tcW w:type="dxa" w:w="28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Backend business logic</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External Integration Failures</w:t>
            </w:r>
          </w:p>
        </w:tc>
        <w:tc>
          <w:tcPr>
            <w:tcW w:type="dxa" w:w="42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Mobile Money timeout</w:t>
            </w:r>
          </w:p>
          <w:p>
            <w:pPr>
              <w:spacing w:after="0"/>
            </w:pPr>
            <w:r>
              <w:rPr>
                <w:rFonts w:ascii="Calibri" w:cs="Calibri" w:eastAsia="Calibri" w:hAnsi="Calibri"/>
                <w:b w:val="false"/>
                <w:bCs w:val="false"/>
                <w:color w:val="1A1A1A"/>
                <w:sz w:val="20"/>
                <w:szCs w:val="20"/>
              </w:rPr>
              <w:t xml:space="preserve">SMS provider unreachable</w:t>
            </w:r>
          </w:p>
          <w:p>
            <w:pPr>
              <w:spacing w:after="0"/>
            </w:pPr>
            <w:r>
              <w:rPr>
                <w:rFonts w:ascii="Calibri" w:cs="Calibri" w:eastAsia="Calibri" w:hAnsi="Calibri"/>
                <w:b w:val="false"/>
                <w:bCs w:val="false"/>
                <w:color w:val="1A1A1A"/>
                <w:sz w:val="20"/>
                <w:szCs w:val="20"/>
              </w:rPr>
              <w:t xml:space="preserve">LLM API error</w:t>
            </w:r>
          </w:p>
          <w:p>
            <w:pPr>
              <w:spacing w:after="0"/>
            </w:pPr>
            <w:r>
              <w:rPr>
                <w:rFonts w:ascii="Calibri" w:cs="Calibri" w:eastAsia="Calibri" w:hAnsi="Calibri"/>
                <w:b w:val="false"/>
                <w:bCs w:val="false"/>
                <w:color w:val="1A1A1A"/>
                <w:sz w:val="20"/>
                <w:szCs w:val="20"/>
              </w:rPr>
              <w:t xml:space="preserve">Maps lookup failure</w:t>
            </w:r>
          </w:p>
          <w:p>
            <w:pPr>
              <w:spacing w:after="0"/>
            </w:pPr>
            <w:r>
              <w:rPr>
                <w:rFonts w:ascii="Calibri" w:cs="Calibri" w:eastAsia="Calibri" w:hAnsi="Calibri"/>
                <w:b w:val="false"/>
                <w:bCs w:val="false"/>
                <w:color w:val="1A1A1A"/>
                <w:sz w:val="20"/>
                <w:szCs w:val="20"/>
              </w:rPr>
              <w:t xml:space="preserve">ClamAV scan failure</w:t>
            </w:r>
          </w:p>
        </w:tc>
        <w:tc>
          <w:tcPr>
            <w:tcW w:type="dxa" w:w="28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Third-party services (SRS Section 11)</w:t>
            </w:r>
          </w:p>
        </w:tc>
      </w:tr>
      <w:tr>
        <w:tc>
          <w:tcPr>
            <w:tcW w:type="dxa" w:w="2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System / Infrastructure Errors</w:t>
            </w:r>
          </w:p>
        </w:tc>
        <w:tc>
          <w:tcPr>
            <w:tcW w:type="dxa" w:w="42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Database connection loss</w:t>
            </w:r>
          </w:p>
          <w:p>
            <w:pPr>
              <w:spacing w:after="0"/>
            </w:pPr>
            <w:r>
              <w:rPr>
                <w:rFonts w:ascii="Calibri" w:cs="Calibri" w:eastAsia="Calibri" w:hAnsi="Calibri"/>
                <w:b w:val="false"/>
                <w:bCs w:val="false"/>
                <w:color w:val="1A1A1A"/>
                <w:sz w:val="20"/>
                <w:szCs w:val="20"/>
              </w:rPr>
              <w:t xml:space="preserve">Redis unavailable</w:t>
            </w:r>
          </w:p>
          <w:p>
            <w:pPr>
              <w:spacing w:after="0"/>
            </w:pPr>
            <w:r>
              <w:rPr>
                <w:rFonts w:ascii="Calibri" w:cs="Calibri" w:eastAsia="Calibri" w:hAnsi="Calibri"/>
                <w:b w:val="false"/>
                <w:bCs w:val="false"/>
                <w:color w:val="1A1A1A"/>
                <w:sz w:val="20"/>
                <w:szCs w:val="20"/>
              </w:rPr>
              <w:t xml:space="preserve">Celery worker crash</w:t>
            </w:r>
          </w:p>
          <w:p>
            <w:pPr>
              <w:spacing w:after="0"/>
            </w:pPr>
            <w:r>
              <w:rPr>
                <w:rFonts w:ascii="Calibri" w:cs="Calibri" w:eastAsia="Calibri" w:hAnsi="Calibri"/>
                <w:b w:val="false"/>
                <w:bCs w:val="false"/>
                <w:color w:val="1A1A1A"/>
                <w:sz w:val="20"/>
                <w:szCs w:val="20"/>
              </w:rPr>
              <w:t xml:space="preserve">WebSocket disconnect</w:t>
            </w:r>
          </w:p>
        </w:tc>
        <w:tc>
          <w:tcPr>
            <w:tcW w:type="dxa" w:w="28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Backend infrastructure</w:t>
            </w:r>
          </w:p>
        </w:tc>
      </w:tr>
      <w:tr>
        <w:tc>
          <w:tcPr>
            <w:tcW w:type="dxa" w:w="2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Security Events</w:t>
            </w:r>
          </w:p>
        </w:tc>
        <w:tc>
          <w:tcPr>
            <w:tcW w:type="dxa" w:w="42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Rate-limit breach on OTP/login (REQ-SEC-005)</w:t>
            </w:r>
          </w:p>
          <w:p>
            <w:pPr>
              <w:spacing w:after="0"/>
            </w:pPr>
            <w:r>
              <w:rPr>
                <w:rFonts w:ascii="Calibri" w:cs="Calibri" w:eastAsia="Calibri" w:hAnsi="Calibri"/>
                <w:b w:val="false"/>
                <w:bCs w:val="false"/>
                <w:color w:val="1A1A1A"/>
                <w:sz w:val="20"/>
                <w:szCs w:val="20"/>
              </w:rPr>
              <w:t xml:space="preserve">Invalid/expired presigned URL access attempt</w:t>
            </w:r>
          </w:p>
          <w:p>
            <w:pPr>
              <w:spacing w:after="0"/>
            </w:pPr>
            <w:r>
              <w:rPr>
                <w:rFonts w:ascii="Calibri" w:cs="Calibri" w:eastAsia="Calibri" w:hAnsi="Calibri"/>
                <w:b w:val="false"/>
                <w:bCs w:val="false"/>
                <w:color w:val="1A1A1A"/>
                <w:sz w:val="20"/>
                <w:szCs w:val="20"/>
              </w:rPr>
              <w:t xml:space="preserve">Suspicious repeated failed logins</w:t>
            </w:r>
          </w:p>
        </w:tc>
        <w:tc>
          <w:tcPr>
            <w:tcW w:type="dxa" w:w="28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Auth &amp; access layer</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4. Logging Strategy</w:t>
      </w:r>
    </w:p>
    <w:p>
      <w:pPr>
        <w:pStyle w:val="Heading2"/>
        <w:spacing w:after="120" w:before="300"/>
      </w:pPr>
      <w:r>
        <w:rPr>
          <w:rFonts w:ascii="Calibri" w:cs="Calibri" w:eastAsia="Calibri" w:hAnsi="Calibri"/>
          <w:b/>
          <w:bCs/>
          <w:color w:val="2E6F8E"/>
          <w:sz w:val="24"/>
          <w:szCs w:val="24"/>
        </w:rPr>
        <w:t xml:space="preserve">4.1 What Gets Logged</w:t>
      </w:r>
    </w:p>
    <w:p>
      <w:pPr>
        <w:spacing w:after="160" w:line="276"/>
      </w:pPr>
      <w:r>
        <w:rPr>
          <w:rFonts w:ascii="Calibri" w:cs="Calibri" w:eastAsia="Calibri" w:hAnsi="Calibri"/>
          <w:b w:val="false"/>
          <w:bCs w:val="false"/>
          <w:i w:val="false"/>
          <w:iCs w:val="false"/>
          <w:color w:val="1A1A1A"/>
          <w:sz w:val="21"/>
          <w:szCs w:val="21"/>
        </w:rPr>
        <w:t xml:space="preserve">All backend services emit structured (JSON) logs rather than free text, so logs can be filtered and aggregated without regex parsing. Every log entry includes, at minimum:</w:t>
      </w:r>
    </w:p>
    <w:p>
      <w:pPr>
        <w:pStyle w:val="ListParagraph"/>
        <w:numPr>
          <w:ilvl w:val="0"/>
          <w:numId w:val="2"/>
        </w:numPr>
        <w:spacing w:after="80"/>
      </w:pPr>
      <w:r>
        <w:rPr>
          <w:rFonts w:ascii="Calibri" w:cs="Calibri" w:eastAsia="Calibri" w:hAnsi="Calibri"/>
          <w:color w:val="1A1A1A"/>
          <w:sz w:val="21"/>
          <w:szCs w:val="21"/>
        </w:rPr>
        <w:t xml:space="preserve">timestamp (UTC, ISO 8601)</w:t>
      </w:r>
    </w:p>
    <w:p>
      <w:pPr>
        <w:pStyle w:val="ListParagraph"/>
        <w:numPr>
          <w:ilvl w:val="0"/>
          <w:numId w:val="2"/>
        </w:numPr>
        <w:spacing w:after="80"/>
      </w:pPr>
      <w:r>
        <w:rPr>
          <w:rFonts w:ascii="Calibri" w:cs="Calibri" w:eastAsia="Calibri" w:hAnsi="Calibri"/>
          <w:color w:val="1A1A1A"/>
          <w:sz w:val="21"/>
          <w:szCs w:val="21"/>
        </w:rPr>
        <w:t xml:space="preserve">request_id / correlation_id — generated at the API gateway and propagated through Celery tasks, WebSocket messages, and any downstream integration call, so one customer action can be traced end-to-end</w:t>
      </w:r>
    </w:p>
    <w:p>
      <w:pPr>
        <w:pStyle w:val="ListParagraph"/>
        <w:numPr>
          <w:ilvl w:val="0"/>
          <w:numId w:val="2"/>
        </w:numPr>
        <w:spacing w:after="80"/>
      </w:pPr>
      <w:r>
        <w:rPr>
          <w:rFonts w:ascii="Calibri" w:cs="Calibri" w:eastAsia="Calibri" w:hAnsi="Calibri"/>
          <w:color w:val="1A1A1A"/>
          <w:sz w:val="21"/>
          <w:szCs w:val="21"/>
        </w:rPr>
        <w:t xml:space="preserve">service (e.g. booking-api, chat-service, payment-worker)</w:t>
      </w:r>
    </w:p>
    <w:p>
      <w:pPr>
        <w:pStyle w:val="ListParagraph"/>
        <w:numPr>
          <w:ilvl w:val="0"/>
          <w:numId w:val="2"/>
        </w:numPr>
        <w:spacing w:after="80"/>
      </w:pPr>
      <w:r>
        <w:rPr>
          <w:rFonts w:ascii="Calibri" w:cs="Calibri" w:eastAsia="Calibri" w:hAnsi="Calibri"/>
          <w:color w:val="1A1A1A"/>
          <w:sz w:val="21"/>
          <w:szCs w:val="21"/>
        </w:rPr>
        <w:t xml:space="preserve">severity level (see Section 4.3)</w:t>
      </w:r>
    </w:p>
    <w:p>
      <w:pPr>
        <w:pStyle w:val="ListParagraph"/>
        <w:numPr>
          <w:ilvl w:val="0"/>
          <w:numId w:val="2"/>
        </w:numPr>
        <w:spacing w:after="80"/>
      </w:pPr>
      <w:r>
        <w:rPr>
          <w:rFonts w:ascii="Calibri" w:cs="Calibri" w:eastAsia="Calibri" w:hAnsi="Calibri"/>
          <w:color w:val="1A1A1A"/>
          <w:sz w:val="21"/>
          <w:szCs w:val="21"/>
        </w:rPr>
        <w:t xml:space="preserve">user context: user_id and role (customer / technician / support_agent / system_admin) — never phone number or raw personal data</w:t>
      </w:r>
    </w:p>
    <w:p>
      <w:pPr>
        <w:pStyle w:val="ListParagraph"/>
        <w:numPr>
          <w:ilvl w:val="0"/>
          <w:numId w:val="2"/>
        </w:numPr>
        <w:spacing w:after="80"/>
      </w:pPr>
      <w:r>
        <w:rPr>
          <w:rFonts w:ascii="Calibri" w:cs="Calibri" w:eastAsia="Calibri" w:hAnsi="Calibri"/>
          <w:color w:val="1A1A1A"/>
          <w:sz w:val="21"/>
          <w:szCs w:val="21"/>
        </w:rPr>
        <w:t xml:space="preserve">event or error code, and a human-readable message</w:t>
      </w:r>
    </w:p>
    <w:p>
      <w:pPr>
        <w:pStyle w:val="ListParagraph"/>
        <w:numPr>
          <w:ilvl w:val="0"/>
          <w:numId w:val="2"/>
        </w:numPr>
        <w:spacing w:after="80"/>
      </w:pPr>
      <w:r>
        <w:rPr>
          <w:rFonts w:ascii="Calibri" w:cs="Calibri" w:eastAsia="Calibri" w:hAnsi="Calibri"/>
          <w:color w:val="1A1A1A"/>
          <w:sz w:val="21"/>
          <w:szCs w:val="21"/>
        </w:rPr>
        <w:t xml:space="preserve">relevant entity IDs (booking_id, conversation_id, quote_id) to support the Admin Portal's dispute-resolution workflow (SRS Section 7)</w:t>
      </w:r>
    </w:p>
    <w:p>
      <w:pPr>
        <w:pStyle w:val="Heading2"/>
        <w:spacing w:after="120" w:before="300"/>
      </w:pPr>
      <w:r>
        <w:rPr>
          <w:rFonts w:ascii="Calibri" w:cs="Calibri" w:eastAsia="Calibri" w:hAnsi="Calibri"/>
          <w:b/>
          <w:bCs/>
          <w:color w:val="2E6F8E"/>
          <w:sz w:val="24"/>
          <w:szCs w:val="24"/>
        </w:rPr>
        <w:t xml:space="preserve">4.2 What Is Never Logged</w:t>
      </w:r>
    </w:p>
    <w:p>
      <w:pPr>
        <w:spacing w:after="160" w:line="276"/>
      </w:pPr>
      <w:r>
        <w:rPr>
          <w:rFonts w:ascii="Calibri" w:cs="Calibri" w:eastAsia="Calibri" w:hAnsi="Calibri"/>
          <w:b w:val="false"/>
          <w:bCs w:val="false"/>
          <w:i w:val="false"/>
          <w:iCs w:val="false"/>
          <w:color w:val="1A1A1A"/>
          <w:sz w:val="21"/>
          <w:szCs w:val="21"/>
        </w:rPr>
        <w:t xml:space="preserve">In line with REQ-SEC-001/002/003, the following are excluded from logs or are masked before writing:</w:t>
      </w:r>
    </w:p>
    <w:p>
      <w:pPr>
        <w:pStyle w:val="ListParagraph"/>
        <w:numPr>
          <w:ilvl w:val="0"/>
          <w:numId w:val="2"/>
        </w:numPr>
        <w:spacing w:after="80"/>
      </w:pPr>
      <w:r>
        <w:rPr>
          <w:rFonts w:ascii="Calibri" w:cs="Calibri" w:eastAsia="Calibri" w:hAnsi="Calibri"/>
          <w:color w:val="1A1A1A"/>
          <w:sz w:val="21"/>
          <w:szCs w:val="21"/>
        </w:rPr>
        <w:t xml:space="preserve">Full phone numbers (logged as a masked form, e.g. +250•••••123)</w:t>
      </w:r>
    </w:p>
    <w:p>
      <w:pPr>
        <w:pStyle w:val="ListParagraph"/>
        <w:numPr>
          <w:ilvl w:val="0"/>
          <w:numId w:val="2"/>
        </w:numPr>
        <w:spacing w:after="80"/>
      </w:pPr>
      <w:r>
        <w:rPr>
          <w:rFonts w:ascii="Calibri" w:cs="Calibri" w:eastAsia="Calibri" w:hAnsi="Calibri"/>
          <w:color w:val="1A1A1A"/>
          <w:sz w:val="21"/>
          <w:szCs w:val="21"/>
        </w:rPr>
        <w:t xml:space="preserve">OTP codes, passwords, session tokens, and API keys</w:t>
      </w:r>
    </w:p>
    <w:p>
      <w:pPr>
        <w:pStyle w:val="ListParagraph"/>
        <w:numPr>
          <w:ilvl w:val="0"/>
          <w:numId w:val="2"/>
        </w:numPr>
        <w:spacing w:after="80"/>
      </w:pPr>
      <w:r>
        <w:rPr>
          <w:rFonts w:ascii="Calibri" w:cs="Calibri" w:eastAsia="Calibri" w:hAnsi="Calibri"/>
          <w:color w:val="1A1A1A"/>
          <w:sz w:val="21"/>
          <w:szCs w:val="21"/>
        </w:rPr>
        <w:t xml:space="preserve">Full Mobile Money or card payment credentials — only the aggregator's transaction reference is logged</w:t>
      </w:r>
    </w:p>
    <w:p>
      <w:pPr>
        <w:pStyle w:val="ListParagraph"/>
        <w:numPr>
          <w:ilvl w:val="0"/>
          <w:numId w:val="2"/>
        </w:numPr>
        <w:spacing w:after="80"/>
      </w:pPr>
      <w:r>
        <w:rPr>
          <w:rFonts w:ascii="Calibri" w:cs="Calibri" w:eastAsia="Calibri" w:hAnsi="Calibri"/>
          <w:color w:val="1A1A1A"/>
          <w:sz w:val="21"/>
          <w:szCs w:val="21"/>
        </w:rPr>
        <w:t xml:space="preserve">Raw chat message content once contact-masking (SRS Section 8) has redacted it — the redacted, not the original, version is what gets logged</w:t>
      </w:r>
    </w:p>
    <w:p>
      <w:pPr>
        <w:pStyle w:val="ListParagraph"/>
        <w:numPr>
          <w:ilvl w:val="0"/>
          <w:numId w:val="2"/>
        </w:numPr>
        <w:spacing w:after="80"/>
      </w:pPr>
      <w:r>
        <w:rPr>
          <w:rFonts w:ascii="Calibri" w:cs="Calibri" w:eastAsia="Calibri" w:hAnsi="Calibri"/>
          <w:color w:val="1A1A1A"/>
          <w:sz w:val="21"/>
          <w:szCs w:val="21"/>
        </w:rPr>
        <w:t xml:space="preserve">Uploaded ID document contents — only the fact that a verification attempt occurred, and its result</w:t>
      </w:r>
    </w:p>
    <w:p>
      <w:pPr>
        <w:pStyle w:val="Heading2"/>
        <w:spacing w:after="120" w:before="300"/>
      </w:pPr>
      <w:r>
        <w:rPr>
          <w:rFonts w:ascii="Calibri" w:cs="Calibri" w:eastAsia="Calibri" w:hAnsi="Calibri"/>
          <w:b/>
          <w:bCs/>
          <w:color w:val="2E6F8E"/>
          <w:sz w:val="24"/>
          <w:szCs w:val="24"/>
        </w:rPr>
        <w:t xml:space="preserve">4.3 Severity Levels</w:t>
      </w:r>
    </w:p>
    <w:tbl>
      <w:tblPr>
        <w:tblW w:type="dxa" w:w="842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900"/>
        <w:gridCol w:w="1520"/>
      </w:tblGrid>
      <w:tr>
        <w:trPr>
          <w:tblHeader/>
        </w:trPr>
        <w:tc>
          <w:tcPr>
            <w:tcW w:type="dxa" w:w="14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Level</w:t>
            </w:r>
          </w:p>
        </w:tc>
        <w:tc>
          <w:tcPr>
            <w:tcW w:type="dxa" w:w="26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Meaning</w:t>
            </w:r>
          </w:p>
        </w:tc>
        <w:tc>
          <w:tcPr>
            <w:tcW w:type="dxa" w:w="29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w:t>
            </w:r>
          </w:p>
        </w:tc>
        <w:tc>
          <w:tcPr>
            <w:tcW w:type="dxa" w:w="15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Response</w:t>
            </w:r>
          </w:p>
        </w:tc>
      </w:tr>
      <w:tr>
        <w:tc>
          <w:tcPr>
            <w:tcW w:type="dxa" w:w="1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DEBUG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Diagnostic detail, dev/staging only</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Cache hit/miss on search ranking</w:t>
            </w:r>
          </w:p>
        </w:tc>
        <w:tc>
          <w:tcPr>
            <w:tcW w:type="dxa" w:w="1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Not shipped to production log store</w:t>
            </w:r>
          </w:p>
        </w:tc>
      </w:tr>
      <w:tr>
        <w:tc>
          <w:tcPr>
            <w:tcW w:type="dxa" w:w="1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INFO</w:t>
            </w:r>
          </w:p>
        </w:tc>
        <w:tc>
          <w:tcPr>
            <w:tcW w:type="dxa" w:w="2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Normal operational event</w:t>
            </w:r>
          </w:p>
        </w:tc>
        <w:tc>
          <w:tcPr>
            <w:tcW w:type="dxa" w:w="29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Booking status transitioned quote_accepted → deposit_paid</w:t>
            </w:r>
          </w:p>
        </w:tc>
        <w:tc>
          <w:tcPr>
            <w:tcW w:type="dxa" w:w="15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Stored, searchable, no alert</w:t>
            </w:r>
          </w:p>
        </w:tc>
      </w:tr>
      <w:tr>
        <w:tc>
          <w:tcPr>
            <w:tcW w:type="dxa" w:w="1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WARNING</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Recoverable issue; system degraded but functioning</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SMS provider failover to Twilio triggered</w:t>
            </w:r>
          </w:p>
        </w:tc>
        <w:tc>
          <w:tcPr>
            <w:tcW w:type="dxa" w:w="1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Stored; visible on dashboards</w:t>
            </w:r>
          </w:p>
        </w:tc>
      </w:tr>
      <w:tr>
        <w:tc>
          <w:tcPr>
            <w:tcW w:type="dxa" w:w="14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ERROR</w:t>
            </w:r>
          </w:p>
        </w:tc>
        <w:tc>
          <w:tcPr>
            <w:tcW w:type="dxa" w:w="2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Operation failed for a single user/request; needs investigation</w:t>
            </w:r>
          </w:p>
        </w:tc>
        <w:tc>
          <w:tcPr>
            <w:tcW w:type="dxa" w:w="29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Mobile Money payment callback failed to verify signature</w:t>
            </w:r>
          </w:p>
        </w:tc>
        <w:tc>
          <w:tcPr>
            <w:tcW w:type="dxa" w:w="15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Sent to Sentry; grouped by fingerprint</w:t>
            </w:r>
          </w:p>
        </w:tc>
      </w:tr>
      <w:tr>
        <w:tc>
          <w:tcPr>
            <w:tcW w:type="dxa" w:w="14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CRITICAL</w:t>
            </w:r>
          </w:p>
        </w:tc>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System-wide impact or data-integrity risk</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Database unreachable; payment webhook queue backing up</w:t>
            </w:r>
          </w:p>
        </w:tc>
        <w:tc>
          <w:tcPr>
            <w:tcW w:type="dxa" w:w="1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Sentry alert + on-call page, per Section 7 below</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5. Error Handling by External Integration</w:t>
      </w:r>
    </w:p>
    <w:p>
      <w:pPr>
        <w:spacing w:after="160" w:line="276"/>
      </w:pPr>
      <w:r>
        <w:rPr>
          <w:rFonts w:ascii="Calibri" w:cs="Calibri" w:eastAsia="Calibri" w:hAnsi="Calibri"/>
          <w:b w:val="false"/>
          <w:bCs w:val="false"/>
          <w:i w:val="false"/>
          <w:iCs w:val="false"/>
          <w:color w:val="1A1A1A"/>
          <w:sz w:val="21"/>
          <w:szCs w:val="21"/>
        </w:rPr>
        <w:t xml:space="preserve">The SRS (Section 11) lists seven external integrations. Each carries a distinct failure mode; the table below defines the required handling for each, consistent with REQ-NFR-004's "degrade gracefully" mandate.</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020"/>
      </w:tblGrid>
      <w:tr>
        <w:trPr>
          <w:tblHeader/>
        </w:trPr>
        <w:tc>
          <w:tcPr>
            <w:tcW w:type="dxa" w:w="23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Integration</w:t>
            </w:r>
          </w:p>
        </w:tc>
        <w:tc>
          <w:tcPr>
            <w:tcW w:type="dxa" w:w="29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Failure Mode</w:t>
            </w:r>
          </w:p>
        </w:tc>
        <w:tc>
          <w:tcPr>
            <w:tcW w:type="dxa" w:w="40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Required Handling</w:t>
            </w:r>
          </w:p>
        </w:tc>
      </w:tr>
      <w:tr>
        <w:tc>
          <w:tcPr>
            <w:tcW w:type="dxa" w:w="23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MTN / Airtel Mobile Money (via aggregator)</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Timeout, declined transaction, webhook not received</w:t>
            </w:r>
          </w:p>
        </w:tc>
        <w:tc>
          <w:tcPr>
            <w:tcW w:type="dxa" w:w="4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Booking stays in quote_accepted status; contact details remain locked (REQ-PAY-004); customer sees a clear retry action; payment worker polls aggregator status before giving up, then marks the attempt failed and logs an ERROR with the transaction reference</w:t>
            </w:r>
          </w:p>
        </w:tc>
      </w:tr>
      <w:tr>
        <w:tc>
          <w:tcPr>
            <w:tcW w:type="dxa" w:w="23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Card gateway (Flutterwave/Stripe)</w:t>
            </w:r>
          </w:p>
        </w:tc>
        <w:tc>
          <w:tcPr>
            <w:tcW w:type="dxa" w:w="29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Card declined, 3-D Secure failure, gateway downtime</w:t>
            </w:r>
          </w:p>
        </w:tc>
        <w:tc>
          <w:tcPr>
            <w:tcW w:type="dxa" w:w="40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Same non-unlock guarantee as Mobile Money; customer offered Mobile Money as an alternative if the gateway itself is down</w:t>
            </w:r>
          </w:p>
        </w:tc>
      </w:tr>
      <w:tr>
        <w:tc>
          <w:tcPr>
            <w:tcW w:type="dxa" w:w="23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Africa's Talking (SMS)</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Delivery failure, API timeout</w:t>
            </w:r>
          </w:p>
        </w:tc>
        <w:tc>
          <w:tcPr>
            <w:tcW w:type="dxa" w:w="4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Automatic failover to Twilio, per the SRS technology stack (Section 2.1); OTP requests exhausted after 3 attempts across both providers surface a WARNING and a clear in-app message rather than a silent hang</w:t>
            </w:r>
          </w:p>
        </w:tc>
      </w:tr>
      <w:tr>
        <w:tc>
          <w:tcPr>
            <w:tcW w:type="dxa" w:w="23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Firebase Cloud Messaging (push)</w:t>
            </w:r>
          </w:p>
        </w:tc>
        <w:tc>
          <w:tcPr>
            <w:tcW w:type="dxa" w:w="29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Token invalid/expired, FCM outage</w:t>
            </w:r>
          </w:p>
        </w:tc>
        <w:tc>
          <w:tcPr>
            <w:tcW w:type="dxa" w:w="40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Failure is non-blocking (notifications are best-effort); invalid tokens are pruned from the user record; in-app notification badge remains the source of truth so the user never misses a lead or message even if push fails</w:t>
            </w:r>
          </w:p>
        </w:tc>
      </w:tr>
      <w:tr>
        <w:tc>
          <w:tcPr>
            <w:tcW w:type="dxa" w:w="23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LLM provider (AI Assistant, RAG)</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Timeout, rate limit, model error, or an answer that isn't grounded in the technician's content</w:t>
            </w:r>
          </w:p>
        </w:tc>
        <w:tc>
          <w:tcPr>
            <w:tcW w:type="dxa" w:w="4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Assistant returns a graceful "I don't have enough information" response rather than fabricating an answer, consistent with the AI Assistant Design Rules (SRS Section 8.3); failures are logged with the technician_id and query so grounding gaps can be reviewed before go-live (Section 15.1, AI assistant evaluation)</w:t>
            </w:r>
          </w:p>
        </w:tc>
      </w:tr>
      <w:tr>
        <w:tc>
          <w:tcPr>
            <w:tcW w:type="dxa" w:w="23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Google Maps / OpenStreetMap</w:t>
            </w:r>
          </w:p>
        </w:tc>
        <w:tc>
          <w:tcPr>
            <w:tcW w:type="dxa" w:w="29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Geocoding failure, quota exceeded</w:t>
            </w:r>
          </w:p>
        </w:tc>
        <w:tc>
          <w:tcPr>
            <w:tcW w:type="dxa" w:w="40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Search falls back to the technician's stored service area/city rather than blocking search entirely</w:t>
            </w:r>
          </w:p>
        </w:tc>
      </w:tr>
      <w:tr>
        <w:tc>
          <w:tcPr>
            <w:tcW w:type="dxa" w:w="23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ClamAV (malware scanning)</w:t>
            </w:r>
          </w:p>
        </w:tc>
        <w:tc>
          <w:tcPr>
            <w:tcW w:type="dxa" w:w="29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Scan timeout, engine unavailable</w:t>
            </w:r>
          </w:p>
        </w:tc>
        <w:tc>
          <w:tcPr>
            <w:tcW w:type="dxa" w:w="40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Upload is held in a pending state and not published to the technician's profile until a scan completes successfully; the upload is never accepted on scanner failure, since this is a trust-and-safety control, not a convenience feature</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6. Retry &amp; Backoff Policy</w:t>
      </w:r>
    </w:p>
    <w:p>
      <w:pPr>
        <w:spacing w:after="160" w:line="276"/>
      </w:pPr>
      <w:r>
        <w:rPr>
          <w:rFonts w:ascii="Calibri" w:cs="Calibri" w:eastAsia="Calibri" w:hAnsi="Calibri"/>
          <w:b w:val="false"/>
          <w:bCs w:val="false"/>
          <w:i w:val="false"/>
          <w:iCs w:val="false"/>
          <w:color w:val="1A1A1A"/>
          <w:sz w:val="21"/>
          <w:szCs w:val="21"/>
        </w:rPr>
        <w:t xml:space="preserve">Retries are handled by Celery, using exponential backoff so a struggling downstream service is not hammered with repeated requests.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920"/>
      </w:tblGrid>
      <w:tr>
        <w:trPr>
          <w:tblHeader/>
        </w:trPr>
        <w:tc>
          <w:tcPr>
            <w:tcW w:type="dxa" w:w="26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Operation</w:t>
            </w:r>
          </w:p>
        </w:tc>
        <w:tc>
          <w:tcPr>
            <w:tcW w:type="dxa" w:w="17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Retryable?</w:t>
            </w:r>
          </w:p>
        </w:tc>
        <w:tc>
          <w:tcPr>
            <w:tcW w:type="dxa" w:w="49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Policy</w:t>
            </w:r>
          </w:p>
        </w:tc>
      </w:tr>
      <w:tr>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SMS / OTP delivery</w:t>
            </w:r>
          </w:p>
        </w:tc>
        <w:tc>
          <w:tcPr>
            <w:tcW w:type="dxa" w:w="17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Yes</w:t>
            </w:r>
          </w:p>
        </w:tc>
        <w:tc>
          <w:tcPr>
            <w:tcW w:type="dxa" w:w="49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Up to 3 attempts per provider with exponential backoff, then automatic failover to the secondary SMS provider before surfacing failure to the user</w:t>
            </w:r>
          </w:p>
        </w:tc>
      </w:tr>
      <w:tr>
        <w:tc>
          <w:tcPr>
            <w:tcW w:type="dxa" w:w="2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Push notification send</w:t>
            </w:r>
          </w:p>
        </w:tc>
        <w:tc>
          <w:tcPr>
            <w:tcW w:type="dxa" w:w="17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Yes</w:t>
            </w:r>
          </w:p>
        </w:tc>
        <w:tc>
          <w:tcPr>
            <w:tcW w:type="dxa" w:w="49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Best-effort, single retry; never blocks the primary flow (chat/lead delivery)</w:t>
            </w:r>
          </w:p>
        </w:tc>
      </w:tr>
      <w:tr>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Booking deposit payment</w:t>
            </w:r>
          </w:p>
        </w:tc>
        <w:tc>
          <w:tcPr>
            <w:tcW w:type="dxa" w:w="17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No, not automatically</w:t>
            </w:r>
          </w:p>
        </w:tc>
        <w:tc>
          <w:tcPr>
            <w:tcW w:type="dxa" w:w="49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 failed deposit is never silently retried by the system, since that risks a duplicate charge; the customer explicitly triggers a retry, satisfying REQ-PAY-004</w:t>
            </w:r>
          </w:p>
        </w:tc>
      </w:tr>
      <w:tr>
        <w:tc>
          <w:tcPr>
            <w:tcW w:type="dxa" w:w="2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Technician subscription billing</w:t>
            </w:r>
          </w:p>
        </w:tc>
        <w:tc>
          <w:tcPr>
            <w:tcW w:type="dxa" w:w="17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Yes, per REQ-PAY-005</w:t>
            </w:r>
          </w:p>
        </w:tc>
        <w:tc>
          <w:tcPr>
            <w:tcW w:type="dxa" w:w="49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Automatic retry across a defined grace period before the profile is marked Lapsed and hidden from search (SRS Section 9.2)</w:t>
            </w:r>
          </w:p>
        </w:tc>
      </w:tr>
      <w:tr>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AI assistant query</w:t>
            </w:r>
          </w:p>
        </w:tc>
        <w:tc>
          <w:tcPr>
            <w:tcW w:type="dxa" w:w="17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Yes, limited</w:t>
            </w:r>
          </w:p>
        </w:tc>
        <w:tc>
          <w:tcPr>
            <w:tcW w:type="dxa" w:w="49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One automatic retry on transient LLM timeout; on repeat failure, the assistant degrades to its "can't answer right now" response rather than queuing indefinitely</w:t>
            </w:r>
          </w:p>
        </w:tc>
      </w:tr>
      <w:tr>
        <w:tc>
          <w:tcPr>
            <w:tcW w:type="dxa" w:w="2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Content indexing (embeddings for AI assistant)</w:t>
            </w:r>
          </w:p>
        </w:tc>
        <w:tc>
          <w:tcPr>
            <w:tcW w:type="dxa" w:w="17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Yes</w:t>
            </w:r>
          </w:p>
        </w:tc>
        <w:tc>
          <w:tcPr>
            <w:tcW w:type="dxa" w:w="49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Background retry with backoff; technician content remains visible on the profile even if indexing is still catching up</w:t>
            </w:r>
          </w:p>
        </w:tc>
      </w:tr>
      <w:tr>
        <w:tc>
          <w:tcPr>
            <w:tcW w:type="dxa" w:w="2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Webhook processing (payment callbacks)</w:t>
            </w:r>
          </w:p>
        </w:tc>
        <w:tc>
          <w:tcPr>
            <w:tcW w:type="dxa" w:w="17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Yes, idempotent</w:t>
            </w:r>
          </w:p>
        </w:tc>
        <w:tc>
          <w:tcPr>
            <w:tcW w:type="dxa" w:w="49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Callbacks are processed idempotently by transaction reference so a redelivered webhook cannot double-apply a payment</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7. User-Facing Error Behaviour</w:t>
      </w:r>
    </w:p>
    <w:p>
      <w:pPr>
        <w:spacing w:after="160" w:line="276"/>
      </w:pPr>
      <w:r>
        <w:rPr>
          <w:rFonts w:ascii="Calibri" w:cs="Calibri" w:eastAsia="Calibri" w:hAnsi="Calibri"/>
          <w:b w:val="false"/>
          <w:bCs w:val="false"/>
          <w:i w:val="false"/>
          <w:iCs w:val="false"/>
          <w:color w:val="1A1A1A"/>
          <w:sz w:val="21"/>
          <w:szCs w:val="21"/>
        </w:rPr>
        <w:t xml:space="preserve">Errors reaching the Customer App, Technician App, or Admin Portal are translated into plain-language, localised messages — never a raw stack trace or HTTP status code. This is a direct extension of REQ-NFR-010/011: error copy respects the user's selected language (Kinyarwanda, English, or French) the same way all other customer-facing text does.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520"/>
      </w:tblGrid>
      <w:tr>
        <w:trPr>
          <w:tblHeader/>
        </w:trPr>
        <w:tc>
          <w:tcPr>
            <w:tcW w:type="dxa" w:w="21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Situation</w:t>
            </w:r>
          </w:p>
        </w:tc>
        <w:tc>
          <w:tcPr>
            <w:tcW w:type="dxa" w:w="36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the User Sees</w:t>
            </w:r>
          </w:p>
        </w:tc>
        <w:tc>
          <w:tcPr>
            <w:tcW w:type="dxa" w:w="35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Happens Behind the Scenes</w:t>
            </w:r>
          </w:p>
        </w:tc>
      </w:tr>
      <w:tr>
        <w:tc>
          <w:tcPr>
            <w:tcW w:type="dxa" w:w="21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Payment fails or times out</w:t>
            </w:r>
          </w:p>
        </w:tc>
        <w:tc>
          <w:tcPr>
            <w:tcW w:type="dxa" w:w="3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Plain-language message plus a retry button; contact details stay locked</w:t>
            </w:r>
          </w:p>
        </w:tc>
        <w:tc>
          <w:tcPr>
            <w:tcW w:type="dxa" w:w="3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ERROR logged with transaction reference; booking stays in quote_accepted</w:t>
            </w:r>
          </w:p>
        </w:tc>
      </w:tr>
      <w:tr>
        <w:tc>
          <w:tcPr>
            <w:tcW w:type="dxa" w:w="21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SMS/OTP not received</w:t>
            </w:r>
          </w:p>
        </w:tc>
        <w:tc>
          <w:tcPr>
            <w:tcW w:type="dxa" w:w="3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"Resend code" option after a short cooldown, and a note that it may take a minute</w:t>
            </w:r>
          </w:p>
        </w:tc>
        <w:tc>
          <w:tcPr>
            <w:tcW w:type="dxa" w:w="35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WARNING logged if first provider failed; failover already attempted silently</w:t>
            </w:r>
          </w:p>
        </w:tc>
      </w:tr>
      <w:tr>
        <w:tc>
          <w:tcPr>
            <w:tcW w:type="dxa" w:w="21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AI assistant can't answer</w:t>
            </w:r>
          </w:p>
        </w:tc>
        <w:tc>
          <w:tcPr>
            <w:tcW w:type="dxa" w:w="3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"I don't have enough information about this from [technician]'s profile"</w:t>
            </w:r>
          </w:p>
        </w:tc>
        <w:tc>
          <w:tcPr>
            <w:tcW w:type="dxa" w:w="3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Logged with technician_id and query for grounding review</w:t>
            </w:r>
          </w:p>
        </w:tc>
      </w:tr>
      <w:tr>
        <w:tc>
          <w:tcPr>
            <w:tcW w:type="dxa" w:w="21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Network / offline</w:t>
            </w:r>
          </w:p>
        </w:tc>
        <w:tc>
          <w:tcPr>
            <w:tcW w:type="dxa" w:w="3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Cached last-known state shown where possible (e.g. recent chats), with an offline indicator</w:t>
            </w:r>
          </w:p>
        </w:tc>
        <w:tc>
          <w:tcPr>
            <w:tcW w:type="dxa" w:w="35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Client queues the action and retries once connectivity returns</w:t>
            </w:r>
          </w:p>
        </w:tc>
      </w:tr>
      <w:tr>
        <w:tc>
          <w:tcPr>
            <w:tcW w:type="dxa" w:w="21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Unexpected server error (5xx)</w:t>
            </w:r>
          </w:p>
        </w:tc>
        <w:tc>
          <w:tcPr>
            <w:tcW w:type="dxa" w:w="3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Generic "Something went wrong, please try again" — never internal details</w:t>
            </w:r>
          </w:p>
        </w:tc>
        <w:tc>
          <w:tcPr>
            <w:tcW w:type="dxa" w:w="3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CRITICAL or ERROR logged to Sentry with full request_id for engineering follow-up</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8. Monitoring &amp; Alerting</w:t>
      </w:r>
    </w:p>
    <w:p>
      <w:pPr>
        <w:spacing w:after="160" w:line="276"/>
      </w:pPr>
      <w:r>
        <w:rPr>
          <w:rFonts w:ascii="Calibri" w:cs="Calibri" w:eastAsia="Calibri" w:hAnsi="Calibri"/>
          <w:b w:val="false"/>
          <w:bCs w:val="false"/>
          <w:i w:val="false"/>
          <w:iCs w:val="false"/>
          <w:color w:val="1A1A1A"/>
          <w:sz w:val="21"/>
          <w:szCs w:val="21"/>
        </w:rPr>
        <w:t xml:space="preserve">Sentry is the system of record for exception tracking across the backend and both mobile apps, and server metrics (CPU, memory, queue depth, API latency) are tracked alongside it — this pairing is the explicit go-live requirement in SRS Section 15.2, item 9 ("Monitoring and error tracking active — Sentry + server metrics").</w:t>
      </w:r>
    </w:p>
    <w:p>
      <w:pPr>
        <w:pStyle w:val="ListParagraph"/>
        <w:numPr>
          <w:ilvl w:val="0"/>
          <w:numId w:val="2"/>
        </w:numPr>
        <w:spacing w:after="80"/>
      </w:pPr>
      <w:r>
        <w:rPr>
          <w:rFonts w:ascii="Calibri" w:cs="Calibri" w:eastAsia="Calibri" w:hAnsi="Calibri"/>
          <w:color w:val="1A1A1A"/>
          <w:sz w:val="21"/>
          <w:szCs w:val="21"/>
        </w:rPr>
        <w:t xml:space="preserve">Sentry captures every ERROR and CRITICAL event with the request_id, user role, and a stack trace; events are grouped by fingerprint so a recurring issue doesn't flood the team with duplicate alerts.</w:t>
      </w:r>
    </w:p>
    <w:p>
      <w:pPr>
        <w:pStyle w:val="ListParagraph"/>
        <w:numPr>
          <w:ilvl w:val="0"/>
          <w:numId w:val="2"/>
        </w:numPr>
        <w:spacing w:after="80"/>
      </w:pPr>
      <w:r>
        <w:rPr>
          <w:rFonts w:ascii="Calibri" w:cs="Calibri" w:eastAsia="Calibri" w:hAnsi="Calibri"/>
          <w:color w:val="1A1A1A"/>
          <w:sz w:val="21"/>
          <w:szCs w:val="21"/>
        </w:rPr>
        <w:t xml:space="preserve">Server metrics track the REQ-NFR-003 target directly: API latency (P95 &lt; 500ms) is monitored continuously, not just tested once before launch.</w:t>
      </w:r>
    </w:p>
    <w:p>
      <w:pPr>
        <w:pStyle w:val="ListParagraph"/>
        <w:numPr>
          <w:ilvl w:val="0"/>
          <w:numId w:val="2"/>
        </w:numPr>
        <w:spacing w:after="80"/>
      </w:pPr>
      <w:r>
        <w:rPr>
          <w:rFonts w:ascii="Calibri" w:cs="Calibri" w:eastAsia="Calibri" w:hAnsi="Calibri"/>
          <w:color w:val="1A1A1A"/>
          <w:sz w:val="21"/>
          <w:szCs w:val="21"/>
        </w:rPr>
        <w:t xml:space="preserve">Celery queue depth and worker health are monitored so a backlog in background jobs (SMS, AI indexing, trial-expiry checks — SRS Section 2.1) is caught before it becomes user-visible.</w:t>
      </w:r>
    </w:p>
    <w:p>
      <w:pPr>
        <w:pStyle w:val="ListParagraph"/>
        <w:numPr>
          <w:ilvl w:val="0"/>
          <w:numId w:val="2"/>
        </w:numPr>
        <w:spacing w:after="80"/>
      </w:pPr>
      <w:r>
        <w:rPr>
          <w:rFonts w:ascii="Calibri" w:cs="Calibri" w:eastAsia="Calibri" w:hAnsi="Calibri"/>
          <w:color w:val="1A1A1A"/>
          <w:sz w:val="21"/>
          <w:szCs w:val="21"/>
        </w:rPr>
        <w:t xml:space="preserve">Payment-specific dashboards track deposit success/failure rates by provider (MTN, Airtel, card) so a degraded payment provider is visible immediately, not just discovered through customer complaints.</w:t>
      </w:r>
    </w:p>
    <w:p>
      <w:pPr>
        <w:pStyle w:val="Heading2"/>
        <w:spacing w:after="120" w:before="300"/>
      </w:pPr>
      <w:r>
        <w:rPr>
          <w:rFonts w:ascii="Calibri" w:cs="Calibri" w:eastAsia="Calibri" w:hAnsi="Calibri"/>
          <w:b/>
          <w:bCs/>
          <w:color w:val="2E6F8E"/>
          <w:sz w:val="24"/>
          <w:szCs w:val="24"/>
        </w:rPr>
        <w:t xml:space="preserve">8.1 Alert Routing &amp; Escalation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520"/>
      </w:tblGrid>
      <w:tr>
        <w:trPr>
          <w:tblHeader/>
        </w:trPr>
        <w:tc>
          <w:tcPr>
            <w:tcW w:type="dxa" w:w="21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Severity</w:t>
            </w:r>
          </w:p>
        </w:tc>
        <w:tc>
          <w:tcPr>
            <w:tcW w:type="dxa" w:w="360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Is Notified</w:t>
            </w:r>
          </w:p>
        </w:tc>
        <w:tc>
          <w:tcPr>
            <w:tcW w:type="dxa" w:w="3520"/>
            <w:shd w:fill="1F3A5F"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Response Target</w:t>
            </w:r>
          </w:p>
        </w:tc>
      </w:tr>
      <w:tr>
        <w:tc>
          <w:tcPr>
            <w:tcW w:type="dxa" w:w="21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CRITICAL</w:t>
            </w:r>
          </w:p>
        </w:tc>
        <w:tc>
          <w:tcPr>
            <w:tcW w:type="dxa" w:w="3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On-call engineer (page) + engineering lead</w:t>
            </w:r>
          </w:p>
        </w:tc>
        <w:tc>
          <w:tcPr>
            <w:tcW w:type="dxa" w:w="3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Acknowledge within 15 minutes</w:t>
            </w:r>
          </w:p>
        </w:tc>
      </w:tr>
      <w:tr>
        <w:tc>
          <w:tcPr>
            <w:tcW w:type="dxa" w:w="21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ERROR (recurring / high-frequency)</w:t>
            </w:r>
          </w:p>
        </w:tc>
        <w:tc>
          <w:tcPr>
            <w:tcW w:type="dxa" w:w="3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Engineering team channel</w:t>
            </w:r>
          </w:p>
        </w:tc>
        <w:tc>
          <w:tcPr>
            <w:tcW w:type="dxa" w:w="35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Triaged same business day</w:t>
            </w:r>
          </w:p>
        </w:tc>
      </w:tr>
      <w:tr>
        <w:tc>
          <w:tcPr>
            <w:tcW w:type="dxa" w:w="21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ERROR (isolated)</w:t>
            </w:r>
          </w:p>
        </w:tc>
        <w:tc>
          <w:tcPr>
            <w:tcW w:type="dxa" w:w="360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Logged and reviewed in daily triage</w:t>
            </w:r>
          </w:p>
        </w:tc>
        <w:tc>
          <w:tcPr>
            <w:tcW w:type="dxa" w:w="3520"/>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Reviewed within 1 business day</w:t>
            </w:r>
          </w:p>
        </w:tc>
      </w:tr>
      <w:tr>
        <w:tc>
          <w:tcPr>
            <w:tcW w:type="dxa" w:w="21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WARNING</w:t>
            </w:r>
          </w:p>
        </w:tc>
        <w:tc>
          <w:tcPr>
            <w:tcW w:type="dxa" w:w="360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Dashboard only, no page</w:t>
            </w:r>
          </w:p>
        </w:tc>
        <w:tc>
          <w:tcPr>
            <w:tcW w:type="dxa" w:w="3520"/>
            <w:shd w:fill="EAF1F6" w:val="clear"/>
            <w:tcMar>
              <w:top w:type="dxa" w:w="100"/>
              <w:left w:type="dxa" w:w="120"/>
              <w:bottom w:type="dxa" w:w="100"/>
              <w:right w:type="dxa" w:w="120"/>
            </w:tcMar>
          </w:tcPr>
          <w:p>
            <w:pPr>
              <w:spacing w:after="0"/>
            </w:pPr>
            <w:r>
              <w:rPr>
                <w:rFonts w:ascii="Calibri" w:cs="Calibri" w:eastAsia="Calibri" w:hAnsi="Calibri"/>
                <w:b w:val="false"/>
                <w:bCs w:val="false"/>
                <w:color w:val="1A1A1A"/>
                <w:sz w:val="20"/>
                <w:szCs w:val="20"/>
              </w:rPr>
              <w:t xml:space="preserve">Reviewed weekly or when a pattern emerges</w:t>
            </w:r>
          </w:p>
        </w:tc>
      </w:tr>
    </w:tbl>
    <w:p>
      <w:pPr>
        <w:pStyle w:val="Heading1"/>
        <w:pBdr>
          <w:bottom w:val="single" w:color="1F3A5F" w:sz="8" w:space="4"/>
        </w:pBdr>
        <w:spacing w:after="200" w:before="400"/>
      </w:pPr>
      <w:r>
        <w:rPr>
          <w:rFonts w:ascii="Calibri" w:cs="Calibri" w:eastAsia="Calibri" w:hAnsi="Calibri"/>
          <w:b/>
          <w:bCs/>
          <w:color w:val="1F3A5F"/>
          <w:sz w:val="30"/>
          <w:szCs w:val="30"/>
        </w:rPr>
        <w:t xml:space="preserve">9. Ownership by Portal</w:t>
      </w:r>
    </w:p>
    <w:p>
      <w:pPr>
        <w:spacing w:after="160" w:line="276"/>
      </w:pPr>
      <w:r>
        <w:rPr>
          <w:rFonts w:ascii="Calibri" w:cs="Calibri" w:eastAsia="Calibri" w:hAnsi="Calibri"/>
          <w:b w:val="false"/>
          <w:bCs w:val="false"/>
          <w:i w:val="false"/>
          <w:iCs w:val="false"/>
          <w:color w:val="1A1A1A"/>
          <w:sz w:val="21"/>
          <w:szCs w:val="21"/>
        </w:rPr>
        <w:t xml:space="preserve">Error visibility is scoped by role, mirroring the access-control model already defined in SRS Section 3.</w:t>
      </w:r>
    </w:p>
    <w:p>
      <w:pPr>
        <w:pStyle w:val="ListParagraph"/>
        <w:numPr>
          <w:ilvl w:val="0"/>
          <w:numId w:val="2"/>
        </w:numPr>
        <w:spacing w:after="80"/>
      </w:pPr>
      <w:r>
        <w:rPr>
          <w:rFonts w:ascii="Calibri" w:cs="Calibri" w:eastAsia="Calibri" w:hAnsi="Calibri"/>
          <w:color w:val="1A1A1A"/>
          <w:sz w:val="21"/>
          <w:szCs w:val="21"/>
        </w:rPr>
        <w:t xml:space="preserve">FixNet Support Agent (Admin Portal): sees error states tied to disputes and payment exceptions — e.g. a booking stuck because a deposit failed — so they can support the customer directly, without needing raw log access.</w:t>
      </w:r>
    </w:p>
    <w:p>
      <w:pPr>
        <w:pStyle w:val="ListParagraph"/>
        <w:numPr>
          <w:ilvl w:val="0"/>
          <w:numId w:val="2"/>
        </w:numPr>
        <w:spacing w:after="80"/>
      </w:pPr>
      <w:r>
        <w:rPr>
          <w:rFonts w:ascii="Calibri" w:cs="Calibri" w:eastAsia="Calibri" w:hAnsi="Calibri"/>
          <w:color w:val="1A1A1A"/>
          <w:sz w:val="21"/>
          <w:szCs w:val="21"/>
        </w:rPr>
        <w:t xml:space="preserve">Finance Admin: sees payment-failure and reconciliation-related events (aligned with their role reconciling deposits and subscriptions).</w:t>
      </w:r>
    </w:p>
    <w:p>
      <w:pPr>
        <w:pStyle w:val="ListParagraph"/>
        <w:numPr>
          <w:ilvl w:val="0"/>
          <w:numId w:val="2"/>
        </w:numPr>
        <w:spacing w:after="80"/>
      </w:pPr>
      <w:r>
        <w:rPr>
          <w:rFonts w:ascii="Calibri" w:cs="Calibri" w:eastAsia="Calibri" w:hAnsi="Calibri"/>
          <w:color w:val="1A1A1A"/>
          <w:sz w:val="21"/>
          <w:szCs w:val="21"/>
        </w:rPr>
        <w:t xml:space="preserve">System Admin: has full audit-log access, per their existing SRS-defined permissions, including security-event logs (Section 3).</w:t>
      </w:r>
    </w:p>
    <w:p>
      <w:pPr>
        <w:pStyle w:val="ListParagraph"/>
        <w:numPr>
          <w:ilvl w:val="0"/>
          <w:numId w:val="2"/>
        </w:numPr>
        <w:spacing w:after="80"/>
      </w:pPr>
      <w:r>
        <w:rPr>
          <w:rFonts w:ascii="Calibri" w:cs="Calibri" w:eastAsia="Calibri" w:hAnsi="Calibri"/>
          <w:color w:val="1A1A1A"/>
          <w:sz w:val="21"/>
          <w:szCs w:val="21"/>
        </w:rPr>
        <w:t xml:space="preserve">Engineering: owns Sentry, server metrics, and Celery/queue monitoring; is the only audience for stack traces and infrastructure-level detail.</w:t>
      </w:r>
    </w:p>
    <w:p>
      <w:pPr>
        <w:pStyle w:val="Heading1"/>
        <w:pBdr>
          <w:bottom w:val="single" w:color="1F3A5F" w:sz="8" w:space="4"/>
        </w:pBdr>
        <w:spacing w:after="200" w:before="400"/>
      </w:pPr>
      <w:r>
        <w:rPr>
          <w:rFonts w:ascii="Calibri" w:cs="Calibri" w:eastAsia="Calibri" w:hAnsi="Calibri"/>
          <w:b/>
          <w:bCs/>
          <w:color w:val="1F3A5F"/>
          <w:sz w:val="30"/>
          <w:szCs w:val="30"/>
        </w:rPr>
        <w:t xml:space="preserve">10. Testing &amp; Validation</w:t>
      </w:r>
    </w:p>
    <w:p>
      <w:pPr>
        <w:spacing w:after="160" w:line="276"/>
      </w:pPr>
      <w:r>
        <w:rPr>
          <w:rFonts w:ascii="Calibri" w:cs="Calibri" w:eastAsia="Calibri" w:hAnsi="Calibri"/>
          <w:b w:val="false"/>
          <w:bCs w:val="false"/>
          <w:i w:val="false"/>
          <w:iCs w:val="false"/>
          <w:color w:val="1A1A1A"/>
          <w:sz w:val="21"/>
          <w:szCs w:val="21"/>
        </w:rPr>
        <w:t xml:space="preserve">Error handling is validated as part of the existing testing approach in SRS Section 15.1, not as a separate late-stage effort:</w:t>
      </w:r>
    </w:p>
    <w:p>
      <w:pPr>
        <w:pStyle w:val="ListParagraph"/>
        <w:numPr>
          <w:ilvl w:val="0"/>
          <w:numId w:val="2"/>
        </w:numPr>
        <w:spacing w:after="80"/>
      </w:pPr>
      <w:r>
        <w:rPr>
          <w:rFonts w:ascii="Calibri" w:cs="Calibri" w:eastAsia="Calibri" w:hAnsi="Calibri"/>
          <w:color w:val="1A1A1A"/>
          <w:sz w:val="21"/>
          <w:szCs w:val="21"/>
        </w:rPr>
        <w:t xml:space="preserve">Unit tests cover each error-handling branch (invalid input, business-rule violation) alongside the feature itself.</w:t>
      </w:r>
    </w:p>
    <w:p>
      <w:pPr>
        <w:pStyle w:val="ListParagraph"/>
        <w:numPr>
          <w:ilvl w:val="0"/>
          <w:numId w:val="2"/>
        </w:numPr>
        <w:spacing w:after="80"/>
      </w:pPr>
      <w:r>
        <w:rPr>
          <w:rFonts w:ascii="Calibri" w:cs="Calibri" w:eastAsia="Calibri" w:hAnsi="Calibri"/>
          <w:color w:val="1A1A1A"/>
          <w:sz w:val="21"/>
          <w:szCs w:val="21"/>
        </w:rPr>
        <w:t xml:space="preserve">API integration tests explicitly exercise failure paths — expired quotes, failed payments, rate-limited OTP requests — not only the happy path.</w:t>
      </w:r>
    </w:p>
    <w:p>
      <w:pPr>
        <w:pStyle w:val="ListParagraph"/>
        <w:numPr>
          <w:ilvl w:val="0"/>
          <w:numId w:val="2"/>
        </w:numPr>
        <w:spacing w:after="80"/>
      </w:pPr>
      <w:r>
        <w:rPr>
          <w:rFonts w:ascii="Calibri" w:cs="Calibri" w:eastAsia="Calibri" w:hAnsi="Calibri"/>
          <w:color w:val="1A1A1A"/>
          <w:sz w:val="21"/>
          <w:szCs w:val="21"/>
        </w:rPr>
        <w:t xml:space="preserve">Load testing (500 concurrent users, P95 &lt; 500ms) includes observing error rates under load, not just latency.</w:t>
      </w:r>
    </w:p>
    <w:p>
      <w:pPr>
        <w:pStyle w:val="ListParagraph"/>
        <w:numPr>
          <w:ilvl w:val="0"/>
          <w:numId w:val="2"/>
        </w:numPr>
        <w:spacing w:after="80"/>
      </w:pPr>
      <w:r>
        <w:rPr>
          <w:rFonts w:ascii="Calibri" w:cs="Calibri" w:eastAsia="Calibri" w:hAnsi="Calibri"/>
          <w:color w:val="1A1A1A"/>
          <w:sz w:val="21"/>
          <w:szCs w:val="21"/>
        </w:rPr>
        <w:t xml:space="preserve">The AI assistant evaluation (before go-live and on every model change) specifically checks that ungrounded questions produce the graceful "can't answer" response rather than a fabricated one.</w:t>
      </w:r>
    </w:p>
    <w:p>
      <w:pPr>
        <w:pStyle w:val="ListParagraph"/>
        <w:numPr>
          <w:ilvl w:val="0"/>
          <w:numId w:val="2"/>
        </w:numPr>
        <w:spacing w:after="80"/>
      </w:pPr>
      <w:r>
        <w:rPr>
          <w:rFonts w:ascii="Calibri" w:cs="Calibri" w:eastAsia="Calibri" w:hAnsi="Calibri"/>
          <w:color w:val="1A1A1A"/>
          <w:sz w:val="21"/>
          <w:szCs w:val="21"/>
        </w:rPr>
        <w:t xml:space="preserve">The security review covers log content directly, confirming no personal data, OTPs, or payment credentials are written to logs before go-live.</w:t>
      </w:r>
    </w:p>
    <w:p>
      <w:pPr>
        <w:pBdr>
          <w:left w:val="single" w:color="2E6F8E" w:sz="16" w:space="8"/>
        </w:pBdr>
        <w:spacing w:after="200" w:before="100"/>
        <w:ind w:left="200"/>
      </w:pPr>
      <w:r>
        <w:rPr>
          <w:rFonts w:ascii="Calibri" w:cs="Calibri" w:eastAsia="Calibri" w:hAnsi="Calibri"/>
          <w:i/>
          <w:iCs/>
          <w:color w:val="5A5A5A"/>
          <w:sz w:val="20"/>
          <w:szCs w:val="20"/>
        </w:rPr>
        <w:t xml:space="preserve">ℹ Go-live checklist item 9 ("Monitoring and error tracking active — Sentry + server metrics") in SRS Section 15.2 is the acceptance criterion for this entire document; this strategy should be treated as satisfied only once that checklist item is verifiably true in the staging/production environment.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2026-08-23T13:24:14.006Z</dcterms:created>
  <dcterms:modified xsi:type="dcterms:W3CDTF">2026-08-23T13:24:14.019Z</dcterms:modified>
</cp:coreProperties>
</file>

<file path=docProps/custom.xml><?xml version="1.0" encoding="utf-8"?>
<Properties xmlns="http://schemas.openxmlformats.org/officeDocument/2006/custom-properties" xmlns:vt="http://schemas.openxmlformats.org/officeDocument/2006/docPropsVTypes"/>
</file>