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7686C" w14:textId="77777777" w:rsidR="00A9409B" w:rsidRDefault="00A9409B">
      <w:pPr>
        <w:spacing w:after="1440"/>
      </w:pPr>
    </w:p>
    <w:p w14:paraId="30CDC2EA" w14:textId="77777777" w:rsidR="00A9409B" w:rsidRDefault="00A0254C">
      <w:pPr>
        <w:jc w:val="center"/>
      </w:pPr>
      <w:r>
        <w:rPr>
          <w:b/>
          <w:bCs/>
          <w:color w:val="1C1C1E"/>
          <w:sz w:val="56"/>
          <w:szCs w:val="56"/>
        </w:rPr>
        <w:t>APPLE INC.</w:t>
      </w:r>
    </w:p>
    <w:p w14:paraId="60BB5004" w14:textId="77777777" w:rsidR="00A9409B" w:rsidRDefault="00A0254C">
      <w:pPr>
        <w:spacing w:before="80" w:after="80"/>
        <w:jc w:val="center"/>
      </w:pPr>
      <w:r>
        <w:rPr>
          <w:color w:val="6E6E73"/>
          <w:sz w:val="36"/>
          <w:szCs w:val="36"/>
        </w:rPr>
        <w:t>Stock Growth Analysis Report</w:t>
      </w:r>
    </w:p>
    <w:p w14:paraId="0CF98E76" w14:textId="0E0BBDFB" w:rsidR="00A9409B" w:rsidRDefault="00A0254C">
      <w:pPr>
        <w:jc w:val="center"/>
      </w:pPr>
      <w:r>
        <w:rPr>
          <w:color w:val="0071E3"/>
        </w:rPr>
        <w:t xml:space="preserve">1980 – </w:t>
      </w:r>
      <w:r w:rsidR="006103FA">
        <w:rPr>
          <w:color w:val="0071E3"/>
        </w:rPr>
        <w:t>2022 | NASDAQ</w:t>
      </w:r>
      <w:r>
        <w:rPr>
          <w:color w:val="0071E3"/>
        </w:rPr>
        <w:t>: AAPL</w:t>
      </w:r>
    </w:p>
    <w:p w14:paraId="5CDAF2A6" w14:textId="77777777" w:rsidR="00A9409B" w:rsidRDefault="00A9409B">
      <w:pPr>
        <w:spacing w:after="960"/>
      </w:pPr>
    </w:p>
    <w:p w14:paraId="6C3F0DDF" w14:textId="77777777" w:rsidR="006103FA" w:rsidRDefault="00A0254C">
      <w:r>
        <w:br w:type="page"/>
      </w:r>
    </w:p>
    <w:sdt>
      <w:sdtPr>
        <w:id w:val="-1769694292"/>
        <w:docPartObj>
          <w:docPartGallery w:val="Table of Contents"/>
          <w:docPartUnique/>
        </w:docPartObj>
      </w:sdtPr>
      <w:sdtEndPr>
        <w:rPr>
          <w:rFonts w:ascii="Arial" w:eastAsia="Arial" w:hAnsi="Arial" w:cs="Arial"/>
          <w:b/>
          <w:bCs/>
          <w:noProof/>
          <w:color w:val="auto"/>
          <w:sz w:val="22"/>
          <w:szCs w:val="22"/>
          <w:lang w:val="en-NG" w:eastAsia="en-NG"/>
        </w:rPr>
      </w:sdtEndPr>
      <w:sdtContent>
        <w:p w14:paraId="4A042723" w14:textId="0CEB6A89" w:rsidR="006103FA" w:rsidRDefault="006103FA">
          <w:pPr>
            <w:pStyle w:val="TOCHeading"/>
          </w:pPr>
          <w:r>
            <w:t>Contents</w:t>
          </w:r>
        </w:p>
        <w:p w14:paraId="4BE0E547" w14:textId="56AEEB78" w:rsidR="006103FA" w:rsidRDefault="006103FA">
          <w:pPr>
            <w:pStyle w:val="TOC1"/>
            <w:tabs>
              <w:tab w:val="right" w:leader="dot" w:pos="9350"/>
            </w:tabs>
            <w:rPr>
              <w:noProof/>
            </w:rPr>
          </w:pPr>
          <w:r>
            <w:fldChar w:fldCharType="begin"/>
          </w:r>
          <w:r>
            <w:instrText xml:space="preserve"> TOC \o "1-3" \h \z \u </w:instrText>
          </w:r>
          <w:r>
            <w:fldChar w:fldCharType="separate"/>
          </w:r>
          <w:hyperlink w:anchor="_Toc237883380" w:history="1">
            <w:r w:rsidRPr="003C014C">
              <w:rPr>
                <w:rStyle w:val="Hyperlink"/>
                <w:noProof/>
              </w:rPr>
              <w:t>1. Executive Summary</w:t>
            </w:r>
            <w:r>
              <w:rPr>
                <w:noProof/>
                <w:webHidden/>
              </w:rPr>
              <w:tab/>
            </w:r>
            <w:r>
              <w:rPr>
                <w:noProof/>
                <w:webHidden/>
              </w:rPr>
              <w:fldChar w:fldCharType="begin"/>
            </w:r>
            <w:r>
              <w:rPr>
                <w:noProof/>
                <w:webHidden/>
              </w:rPr>
              <w:instrText xml:space="preserve"> PAGEREF _Toc237883380 \h </w:instrText>
            </w:r>
            <w:r>
              <w:rPr>
                <w:noProof/>
                <w:webHidden/>
              </w:rPr>
            </w:r>
            <w:r>
              <w:rPr>
                <w:noProof/>
                <w:webHidden/>
              </w:rPr>
              <w:fldChar w:fldCharType="separate"/>
            </w:r>
            <w:r>
              <w:rPr>
                <w:noProof/>
                <w:webHidden/>
              </w:rPr>
              <w:t>2</w:t>
            </w:r>
            <w:r>
              <w:rPr>
                <w:noProof/>
                <w:webHidden/>
              </w:rPr>
              <w:fldChar w:fldCharType="end"/>
            </w:r>
          </w:hyperlink>
        </w:p>
        <w:p w14:paraId="0DC8AA24" w14:textId="10E3F694" w:rsidR="006103FA" w:rsidRDefault="006103FA">
          <w:pPr>
            <w:pStyle w:val="TOC1"/>
            <w:tabs>
              <w:tab w:val="right" w:leader="dot" w:pos="9350"/>
            </w:tabs>
            <w:rPr>
              <w:noProof/>
            </w:rPr>
          </w:pPr>
          <w:hyperlink w:anchor="_Toc237883381" w:history="1">
            <w:r w:rsidRPr="003C014C">
              <w:rPr>
                <w:rStyle w:val="Hyperlink"/>
                <w:noProof/>
              </w:rPr>
              <w:t>2. Company Background</w:t>
            </w:r>
            <w:r>
              <w:rPr>
                <w:noProof/>
                <w:webHidden/>
              </w:rPr>
              <w:tab/>
            </w:r>
            <w:r>
              <w:rPr>
                <w:noProof/>
                <w:webHidden/>
              </w:rPr>
              <w:fldChar w:fldCharType="begin"/>
            </w:r>
            <w:r>
              <w:rPr>
                <w:noProof/>
                <w:webHidden/>
              </w:rPr>
              <w:instrText xml:space="preserve"> PAGEREF _Toc237883381 \h </w:instrText>
            </w:r>
            <w:r>
              <w:rPr>
                <w:noProof/>
                <w:webHidden/>
              </w:rPr>
            </w:r>
            <w:r>
              <w:rPr>
                <w:noProof/>
                <w:webHidden/>
              </w:rPr>
              <w:fldChar w:fldCharType="separate"/>
            </w:r>
            <w:r>
              <w:rPr>
                <w:noProof/>
                <w:webHidden/>
              </w:rPr>
              <w:t>2</w:t>
            </w:r>
            <w:r>
              <w:rPr>
                <w:noProof/>
                <w:webHidden/>
              </w:rPr>
              <w:fldChar w:fldCharType="end"/>
            </w:r>
          </w:hyperlink>
        </w:p>
        <w:p w14:paraId="6633D648" w14:textId="3CA56C00" w:rsidR="006103FA" w:rsidRDefault="006103FA">
          <w:pPr>
            <w:pStyle w:val="TOC1"/>
            <w:tabs>
              <w:tab w:val="right" w:leader="dot" w:pos="9350"/>
            </w:tabs>
            <w:rPr>
              <w:noProof/>
            </w:rPr>
          </w:pPr>
          <w:hyperlink w:anchor="_Toc237883382" w:history="1">
            <w:r w:rsidRPr="003C014C">
              <w:rPr>
                <w:rStyle w:val="Hyperlink"/>
                <w:noProof/>
              </w:rPr>
              <w:t>3. Data &amp; Methodology</w:t>
            </w:r>
            <w:r>
              <w:rPr>
                <w:noProof/>
                <w:webHidden/>
              </w:rPr>
              <w:tab/>
            </w:r>
            <w:r>
              <w:rPr>
                <w:noProof/>
                <w:webHidden/>
              </w:rPr>
              <w:fldChar w:fldCharType="begin"/>
            </w:r>
            <w:r>
              <w:rPr>
                <w:noProof/>
                <w:webHidden/>
              </w:rPr>
              <w:instrText xml:space="preserve"> PAGEREF _Toc237883382 \h </w:instrText>
            </w:r>
            <w:r>
              <w:rPr>
                <w:noProof/>
                <w:webHidden/>
              </w:rPr>
            </w:r>
            <w:r>
              <w:rPr>
                <w:noProof/>
                <w:webHidden/>
              </w:rPr>
              <w:fldChar w:fldCharType="separate"/>
            </w:r>
            <w:r>
              <w:rPr>
                <w:noProof/>
                <w:webHidden/>
              </w:rPr>
              <w:t>2</w:t>
            </w:r>
            <w:r>
              <w:rPr>
                <w:noProof/>
                <w:webHidden/>
              </w:rPr>
              <w:fldChar w:fldCharType="end"/>
            </w:r>
          </w:hyperlink>
        </w:p>
        <w:p w14:paraId="6DB072A0" w14:textId="2780E3BD" w:rsidR="006103FA" w:rsidRDefault="006103FA">
          <w:pPr>
            <w:pStyle w:val="TOC2"/>
            <w:tabs>
              <w:tab w:val="right" w:leader="dot" w:pos="9350"/>
            </w:tabs>
            <w:rPr>
              <w:noProof/>
            </w:rPr>
          </w:pPr>
          <w:hyperlink w:anchor="_Toc237883383" w:history="1">
            <w:r w:rsidRPr="003C014C">
              <w:rPr>
                <w:rStyle w:val="Hyperlink"/>
                <w:noProof/>
              </w:rPr>
              <w:t>3.1 Data Source</w:t>
            </w:r>
            <w:r>
              <w:rPr>
                <w:noProof/>
                <w:webHidden/>
              </w:rPr>
              <w:tab/>
            </w:r>
            <w:r>
              <w:rPr>
                <w:noProof/>
                <w:webHidden/>
              </w:rPr>
              <w:fldChar w:fldCharType="begin"/>
            </w:r>
            <w:r>
              <w:rPr>
                <w:noProof/>
                <w:webHidden/>
              </w:rPr>
              <w:instrText xml:space="preserve"> PAGEREF _Toc237883383 \h </w:instrText>
            </w:r>
            <w:r>
              <w:rPr>
                <w:noProof/>
                <w:webHidden/>
              </w:rPr>
            </w:r>
            <w:r>
              <w:rPr>
                <w:noProof/>
                <w:webHidden/>
              </w:rPr>
              <w:fldChar w:fldCharType="separate"/>
            </w:r>
            <w:r>
              <w:rPr>
                <w:noProof/>
                <w:webHidden/>
              </w:rPr>
              <w:t>2</w:t>
            </w:r>
            <w:r>
              <w:rPr>
                <w:noProof/>
                <w:webHidden/>
              </w:rPr>
              <w:fldChar w:fldCharType="end"/>
            </w:r>
          </w:hyperlink>
        </w:p>
        <w:p w14:paraId="252A689A" w14:textId="1CCB29AB" w:rsidR="006103FA" w:rsidRDefault="006103FA">
          <w:pPr>
            <w:pStyle w:val="TOC2"/>
            <w:tabs>
              <w:tab w:val="right" w:leader="dot" w:pos="9350"/>
            </w:tabs>
            <w:rPr>
              <w:noProof/>
            </w:rPr>
          </w:pPr>
          <w:hyperlink w:anchor="_Toc237883384" w:history="1">
            <w:r w:rsidRPr="003C014C">
              <w:rPr>
                <w:rStyle w:val="Hyperlink"/>
                <w:noProof/>
              </w:rPr>
              <w:t>3.2 Key Metrics Defined</w:t>
            </w:r>
            <w:r>
              <w:rPr>
                <w:noProof/>
                <w:webHidden/>
              </w:rPr>
              <w:tab/>
            </w:r>
            <w:r>
              <w:rPr>
                <w:noProof/>
                <w:webHidden/>
              </w:rPr>
              <w:fldChar w:fldCharType="begin"/>
            </w:r>
            <w:r>
              <w:rPr>
                <w:noProof/>
                <w:webHidden/>
              </w:rPr>
              <w:instrText xml:space="preserve"> PAGEREF _Toc237883384 \h </w:instrText>
            </w:r>
            <w:r>
              <w:rPr>
                <w:noProof/>
                <w:webHidden/>
              </w:rPr>
            </w:r>
            <w:r>
              <w:rPr>
                <w:noProof/>
                <w:webHidden/>
              </w:rPr>
              <w:fldChar w:fldCharType="separate"/>
            </w:r>
            <w:r>
              <w:rPr>
                <w:noProof/>
                <w:webHidden/>
              </w:rPr>
              <w:t>2</w:t>
            </w:r>
            <w:r>
              <w:rPr>
                <w:noProof/>
                <w:webHidden/>
              </w:rPr>
              <w:fldChar w:fldCharType="end"/>
            </w:r>
          </w:hyperlink>
        </w:p>
        <w:p w14:paraId="66FB94D0" w14:textId="5A2CA01A" w:rsidR="006103FA" w:rsidRDefault="006103FA">
          <w:pPr>
            <w:pStyle w:val="TOC1"/>
            <w:tabs>
              <w:tab w:val="right" w:leader="dot" w:pos="9350"/>
            </w:tabs>
            <w:rPr>
              <w:noProof/>
            </w:rPr>
          </w:pPr>
          <w:hyperlink w:anchor="_Toc237883385" w:history="1">
            <w:r w:rsidRPr="003C014C">
              <w:rPr>
                <w:rStyle w:val="Hyperlink"/>
                <w:noProof/>
              </w:rPr>
              <w:t>4. Long-Term Growth Analysis</w:t>
            </w:r>
            <w:r>
              <w:rPr>
                <w:noProof/>
                <w:webHidden/>
              </w:rPr>
              <w:tab/>
            </w:r>
            <w:r>
              <w:rPr>
                <w:noProof/>
                <w:webHidden/>
              </w:rPr>
              <w:fldChar w:fldCharType="begin"/>
            </w:r>
            <w:r>
              <w:rPr>
                <w:noProof/>
                <w:webHidden/>
              </w:rPr>
              <w:instrText xml:space="preserve"> PAGEREF _Toc237883385 \h </w:instrText>
            </w:r>
            <w:r>
              <w:rPr>
                <w:noProof/>
                <w:webHidden/>
              </w:rPr>
            </w:r>
            <w:r>
              <w:rPr>
                <w:noProof/>
                <w:webHidden/>
              </w:rPr>
              <w:fldChar w:fldCharType="separate"/>
            </w:r>
            <w:r>
              <w:rPr>
                <w:noProof/>
                <w:webHidden/>
              </w:rPr>
              <w:t>3</w:t>
            </w:r>
            <w:r>
              <w:rPr>
                <w:noProof/>
                <w:webHidden/>
              </w:rPr>
              <w:fldChar w:fldCharType="end"/>
            </w:r>
          </w:hyperlink>
        </w:p>
        <w:p w14:paraId="5C88EA98" w14:textId="100EF2E3" w:rsidR="006103FA" w:rsidRDefault="006103FA">
          <w:pPr>
            <w:pStyle w:val="TOC2"/>
            <w:tabs>
              <w:tab w:val="right" w:leader="dot" w:pos="9350"/>
            </w:tabs>
            <w:rPr>
              <w:noProof/>
            </w:rPr>
          </w:pPr>
          <w:hyperlink w:anchor="_Toc237883386" w:history="1">
            <w:r w:rsidRPr="003C014C">
              <w:rPr>
                <w:rStyle w:val="Hyperlink"/>
                <w:noProof/>
              </w:rPr>
              <w:t>4.1 Closing Price Trend (1980–2022)</w:t>
            </w:r>
            <w:r>
              <w:rPr>
                <w:noProof/>
                <w:webHidden/>
              </w:rPr>
              <w:tab/>
            </w:r>
            <w:r>
              <w:rPr>
                <w:noProof/>
                <w:webHidden/>
              </w:rPr>
              <w:fldChar w:fldCharType="begin"/>
            </w:r>
            <w:r>
              <w:rPr>
                <w:noProof/>
                <w:webHidden/>
              </w:rPr>
              <w:instrText xml:space="preserve"> PAGEREF _Toc237883386 \h </w:instrText>
            </w:r>
            <w:r>
              <w:rPr>
                <w:noProof/>
                <w:webHidden/>
              </w:rPr>
            </w:r>
            <w:r>
              <w:rPr>
                <w:noProof/>
                <w:webHidden/>
              </w:rPr>
              <w:fldChar w:fldCharType="separate"/>
            </w:r>
            <w:r>
              <w:rPr>
                <w:noProof/>
                <w:webHidden/>
              </w:rPr>
              <w:t>3</w:t>
            </w:r>
            <w:r>
              <w:rPr>
                <w:noProof/>
                <w:webHidden/>
              </w:rPr>
              <w:fldChar w:fldCharType="end"/>
            </w:r>
          </w:hyperlink>
        </w:p>
        <w:p w14:paraId="0B9CACCD" w14:textId="1DE45EC6" w:rsidR="006103FA" w:rsidRDefault="006103FA">
          <w:pPr>
            <w:pStyle w:val="TOC2"/>
            <w:tabs>
              <w:tab w:val="right" w:leader="dot" w:pos="9350"/>
            </w:tabs>
            <w:rPr>
              <w:noProof/>
            </w:rPr>
          </w:pPr>
          <w:hyperlink w:anchor="_Toc237883387" w:history="1">
            <w:r w:rsidRPr="003C014C">
              <w:rPr>
                <w:rStyle w:val="Hyperlink"/>
                <w:noProof/>
              </w:rPr>
              <w:t>4.2 Annual Returns</w:t>
            </w:r>
            <w:r>
              <w:rPr>
                <w:noProof/>
                <w:webHidden/>
              </w:rPr>
              <w:tab/>
            </w:r>
            <w:r>
              <w:rPr>
                <w:noProof/>
                <w:webHidden/>
              </w:rPr>
              <w:fldChar w:fldCharType="begin"/>
            </w:r>
            <w:r>
              <w:rPr>
                <w:noProof/>
                <w:webHidden/>
              </w:rPr>
              <w:instrText xml:space="preserve"> PAGEREF _Toc237883387 \h </w:instrText>
            </w:r>
            <w:r>
              <w:rPr>
                <w:noProof/>
                <w:webHidden/>
              </w:rPr>
            </w:r>
            <w:r>
              <w:rPr>
                <w:noProof/>
                <w:webHidden/>
              </w:rPr>
              <w:fldChar w:fldCharType="separate"/>
            </w:r>
            <w:r>
              <w:rPr>
                <w:noProof/>
                <w:webHidden/>
              </w:rPr>
              <w:t>3</w:t>
            </w:r>
            <w:r>
              <w:rPr>
                <w:noProof/>
                <w:webHidden/>
              </w:rPr>
              <w:fldChar w:fldCharType="end"/>
            </w:r>
          </w:hyperlink>
        </w:p>
        <w:p w14:paraId="149DF750" w14:textId="7C004264" w:rsidR="006103FA" w:rsidRDefault="006103FA">
          <w:pPr>
            <w:pStyle w:val="TOC2"/>
            <w:tabs>
              <w:tab w:val="right" w:leader="dot" w:pos="9350"/>
            </w:tabs>
            <w:rPr>
              <w:noProof/>
            </w:rPr>
          </w:pPr>
          <w:hyperlink w:anchor="_Toc237883388" w:history="1">
            <w:r w:rsidRPr="003C014C">
              <w:rPr>
                <w:rStyle w:val="Hyperlink"/>
                <w:noProof/>
              </w:rPr>
              <w:t>4.3 CAGR in Context</w:t>
            </w:r>
            <w:r>
              <w:rPr>
                <w:noProof/>
                <w:webHidden/>
              </w:rPr>
              <w:tab/>
            </w:r>
            <w:r>
              <w:rPr>
                <w:noProof/>
                <w:webHidden/>
              </w:rPr>
              <w:fldChar w:fldCharType="begin"/>
            </w:r>
            <w:r>
              <w:rPr>
                <w:noProof/>
                <w:webHidden/>
              </w:rPr>
              <w:instrText xml:space="preserve"> PAGEREF _Toc237883388 \h </w:instrText>
            </w:r>
            <w:r>
              <w:rPr>
                <w:noProof/>
                <w:webHidden/>
              </w:rPr>
            </w:r>
            <w:r>
              <w:rPr>
                <w:noProof/>
                <w:webHidden/>
              </w:rPr>
              <w:fldChar w:fldCharType="separate"/>
            </w:r>
            <w:r>
              <w:rPr>
                <w:noProof/>
                <w:webHidden/>
              </w:rPr>
              <w:t>3</w:t>
            </w:r>
            <w:r>
              <w:rPr>
                <w:noProof/>
                <w:webHidden/>
              </w:rPr>
              <w:fldChar w:fldCharType="end"/>
            </w:r>
          </w:hyperlink>
        </w:p>
        <w:p w14:paraId="0B256C71" w14:textId="67200B76" w:rsidR="006103FA" w:rsidRDefault="006103FA">
          <w:pPr>
            <w:pStyle w:val="TOC1"/>
            <w:tabs>
              <w:tab w:val="right" w:leader="dot" w:pos="9350"/>
            </w:tabs>
            <w:rPr>
              <w:noProof/>
            </w:rPr>
          </w:pPr>
          <w:hyperlink w:anchor="_Toc237883389" w:history="1">
            <w:r w:rsidRPr="003C014C">
              <w:rPr>
                <w:rStyle w:val="Hyperlink"/>
                <w:noProof/>
              </w:rPr>
              <w:t>5. Trading Volume Analysis</w:t>
            </w:r>
            <w:r>
              <w:rPr>
                <w:noProof/>
                <w:webHidden/>
              </w:rPr>
              <w:tab/>
            </w:r>
            <w:r>
              <w:rPr>
                <w:noProof/>
                <w:webHidden/>
              </w:rPr>
              <w:fldChar w:fldCharType="begin"/>
            </w:r>
            <w:r>
              <w:rPr>
                <w:noProof/>
                <w:webHidden/>
              </w:rPr>
              <w:instrText xml:space="preserve"> PAGEREF _Toc237883389 \h </w:instrText>
            </w:r>
            <w:r>
              <w:rPr>
                <w:noProof/>
                <w:webHidden/>
              </w:rPr>
            </w:r>
            <w:r>
              <w:rPr>
                <w:noProof/>
                <w:webHidden/>
              </w:rPr>
              <w:fldChar w:fldCharType="separate"/>
            </w:r>
            <w:r>
              <w:rPr>
                <w:noProof/>
                <w:webHidden/>
              </w:rPr>
              <w:t>4</w:t>
            </w:r>
            <w:r>
              <w:rPr>
                <w:noProof/>
                <w:webHidden/>
              </w:rPr>
              <w:fldChar w:fldCharType="end"/>
            </w:r>
          </w:hyperlink>
        </w:p>
        <w:p w14:paraId="35BDDD41" w14:textId="55437F11" w:rsidR="006103FA" w:rsidRDefault="006103FA">
          <w:pPr>
            <w:pStyle w:val="TOC1"/>
            <w:tabs>
              <w:tab w:val="right" w:leader="dot" w:pos="9350"/>
            </w:tabs>
            <w:rPr>
              <w:noProof/>
            </w:rPr>
          </w:pPr>
          <w:hyperlink w:anchor="_Toc237883390" w:history="1">
            <w:r w:rsidRPr="003C014C">
              <w:rPr>
                <w:rStyle w:val="Hyperlink"/>
                <w:noProof/>
              </w:rPr>
              <w:t>6. Volatility Analysis</w:t>
            </w:r>
            <w:r>
              <w:rPr>
                <w:noProof/>
                <w:webHidden/>
              </w:rPr>
              <w:tab/>
            </w:r>
            <w:r>
              <w:rPr>
                <w:noProof/>
                <w:webHidden/>
              </w:rPr>
              <w:fldChar w:fldCharType="begin"/>
            </w:r>
            <w:r>
              <w:rPr>
                <w:noProof/>
                <w:webHidden/>
              </w:rPr>
              <w:instrText xml:space="preserve"> PAGEREF _Toc237883390 \h </w:instrText>
            </w:r>
            <w:r>
              <w:rPr>
                <w:noProof/>
                <w:webHidden/>
              </w:rPr>
            </w:r>
            <w:r>
              <w:rPr>
                <w:noProof/>
                <w:webHidden/>
              </w:rPr>
              <w:fldChar w:fldCharType="separate"/>
            </w:r>
            <w:r>
              <w:rPr>
                <w:noProof/>
                <w:webHidden/>
              </w:rPr>
              <w:t>4</w:t>
            </w:r>
            <w:r>
              <w:rPr>
                <w:noProof/>
                <w:webHidden/>
              </w:rPr>
              <w:fldChar w:fldCharType="end"/>
            </w:r>
          </w:hyperlink>
        </w:p>
        <w:p w14:paraId="4FDDD4EA" w14:textId="4403682A" w:rsidR="006103FA" w:rsidRDefault="006103FA">
          <w:pPr>
            <w:pStyle w:val="TOC1"/>
            <w:tabs>
              <w:tab w:val="right" w:leader="dot" w:pos="9350"/>
            </w:tabs>
            <w:rPr>
              <w:noProof/>
            </w:rPr>
          </w:pPr>
          <w:hyperlink w:anchor="_Toc237883391" w:history="1">
            <w:r w:rsidRPr="003C014C">
              <w:rPr>
                <w:rStyle w:val="Hyperlink"/>
                <w:noProof/>
              </w:rPr>
              <w:t>7. Risk Assessment</w:t>
            </w:r>
            <w:r>
              <w:rPr>
                <w:noProof/>
                <w:webHidden/>
              </w:rPr>
              <w:tab/>
            </w:r>
            <w:r>
              <w:rPr>
                <w:noProof/>
                <w:webHidden/>
              </w:rPr>
              <w:fldChar w:fldCharType="begin"/>
            </w:r>
            <w:r>
              <w:rPr>
                <w:noProof/>
                <w:webHidden/>
              </w:rPr>
              <w:instrText xml:space="preserve"> PAGEREF _Toc237883391 \h </w:instrText>
            </w:r>
            <w:r>
              <w:rPr>
                <w:noProof/>
                <w:webHidden/>
              </w:rPr>
            </w:r>
            <w:r>
              <w:rPr>
                <w:noProof/>
                <w:webHidden/>
              </w:rPr>
              <w:fldChar w:fldCharType="separate"/>
            </w:r>
            <w:r>
              <w:rPr>
                <w:noProof/>
                <w:webHidden/>
              </w:rPr>
              <w:t>4</w:t>
            </w:r>
            <w:r>
              <w:rPr>
                <w:noProof/>
                <w:webHidden/>
              </w:rPr>
              <w:fldChar w:fldCharType="end"/>
            </w:r>
          </w:hyperlink>
        </w:p>
        <w:p w14:paraId="0C3DE7BB" w14:textId="49C9D755" w:rsidR="006103FA" w:rsidRDefault="006103FA">
          <w:pPr>
            <w:pStyle w:val="TOC1"/>
            <w:tabs>
              <w:tab w:val="right" w:leader="dot" w:pos="9350"/>
            </w:tabs>
            <w:rPr>
              <w:noProof/>
            </w:rPr>
          </w:pPr>
          <w:hyperlink w:anchor="_Toc237883392" w:history="1">
            <w:r w:rsidRPr="003C014C">
              <w:rPr>
                <w:rStyle w:val="Hyperlink"/>
                <w:noProof/>
              </w:rPr>
              <w:t>8. Key Insights &amp; Conclusion</w:t>
            </w:r>
            <w:r>
              <w:rPr>
                <w:noProof/>
                <w:webHidden/>
              </w:rPr>
              <w:tab/>
            </w:r>
            <w:r>
              <w:rPr>
                <w:noProof/>
                <w:webHidden/>
              </w:rPr>
              <w:fldChar w:fldCharType="begin"/>
            </w:r>
            <w:r>
              <w:rPr>
                <w:noProof/>
                <w:webHidden/>
              </w:rPr>
              <w:instrText xml:space="preserve"> PAGEREF _Toc237883392 \h </w:instrText>
            </w:r>
            <w:r>
              <w:rPr>
                <w:noProof/>
                <w:webHidden/>
              </w:rPr>
            </w:r>
            <w:r>
              <w:rPr>
                <w:noProof/>
                <w:webHidden/>
              </w:rPr>
              <w:fldChar w:fldCharType="separate"/>
            </w:r>
            <w:r>
              <w:rPr>
                <w:noProof/>
                <w:webHidden/>
              </w:rPr>
              <w:t>5</w:t>
            </w:r>
            <w:r>
              <w:rPr>
                <w:noProof/>
                <w:webHidden/>
              </w:rPr>
              <w:fldChar w:fldCharType="end"/>
            </w:r>
          </w:hyperlink>
        </w:p>
        <w:p w14:paraId="3DEFB8CA" w14:textId="1D767FCD" w:rsidR="006103FA" w:rsidRDefault="006103FA">
          <w:pPr>
            <w:pStyle w:val="TOC2"/>
            <w:tabs>
              <w:tab w:val="right" w:leader="dot" w:pos="9350"/>
            </w:tabs>
            <w:rPr>
              <w:noProof/>
            </w:rPr>
          </w:pPr>
          <w:hyperlink w:anchor="_Toc237883393" w:history="1">
            <w:r w:rsidRPr="003C014C">
              <w:rPr>
                <w:rStyle w:val="Hyperlink"/>
                <w:noProof/>
              </w:rPr>
              <w:t>8.1 Summary of Findings</w:t>
            </w:r>
            <w:r>
              <w:rPr>
                <w:noProof/>
                <w:webHidden/>
              </w:rPr>
              <w:tab/>
            </w:r>
            <w:r>
              <w:rPr>
                <w:noProof/>
                <w:webHidden/>
              </w:rPr>
              <w:fldChar w:fldCharType="begin"/>
            </w:r>
            <w:r>
              <w:rPr>
                <w:noProof/>
                <w:webHidden/>
              </w:rPr>
              <w:instrText xml:space="preserve"> PAGEREF _Toc237883393 \h </w:instrText>
            </w:r>
            <w:r>
              <w:rPr>
                <w:noProof/>
                <w:webHidden/>
              </w:rPr>
            </w:r>
            <w:r>
              <w:rPr>
                <w:noProof/>
                <w:webHidden/>
              </w:rPr>
              <w:fldChar w:fldCharType="separate"/>
            </w:r>
            <w:r>
              <w:rPr>
                <w:noProof/>
                <w:webHidden/>
              </w:rPr>
              <w:t>5</w:t>
            </w:r>
            <w:r>
              <w:rPr>
                <w:noProof/>
                <w:webHidden/>
              </w:rPr>
              <w:fldChar w:fldCharType="end"/>
            </w:r>
          </w:hyperlink>
        </w:p>
        <w:p w14:paraId="3090FEA4" w14:textId="4C355FF9" w:rsidR="006103FA" w:rsidRDefault="006103FA">
          <w:pPr>
            <w:pStyle w:val="TOC2"/>
            <w:tabs>
              <w:tab w:val="right" w:leader="dot" w:pos="9350"/>
            </w:tabs>
            <w:rPr>
              <w:noProof/>
            </w:rPr>
          </w:pPr>
          <w:hyperlink w:anchor="_Toc237883394" w:history="1">
            <w:r w:rsidRPr="003C014C">
              <w:rPr>
                <w:rStyle w:val="Hyperlink"/>
                <w:noProof/>
              </w:rPr>
              <w:t>8.2 Conclusion</w:t>
            </w:r>
            <w:r>
              <w:rPr>
                <w:noProof/>
                <w:webHidden/>
              </w:rPr>
              <w:tab/>
            </w:r>
            <w:r>
              <w:rPr>
                <w:noProof/>
                <w:webHidden/>
              </w:rPr>
              <w:fldChar w:fldCharType="begin"/>
            </w:r>
            <w:r>
              <w:rPr>
                <w:noProof/>
                <w:webHidden/>
              </w:rPr>
              <w:instrText xml:space="preserve"> PAGEREF _Toc237883394 \h </w:instrText>
            </w:r>
            <w:r>
              <w:rPr>
                <w:noProof/>
                <w:webHidden/>
              </w:rPr>
            </w:r>
            <w:r>
              <w:rPr>
                <w:noProof/>
                <w:webHidden/>
              </w:rPr>
              <w:fldChar w:fldCharType="separate"/>
            </w:r>
            <w:r>
              <w:rPr>
                <w:noProof/>
                <w:webHidden/>
              </w:rPr>
              <w:t>5</w:t>
            </w:r>
            <w:r>
              <w:rPr>
                <w:noProof/>
                <w:webHidden/>
              </w:rPr>
              <w:fldChar w:fldCharType="end"/>
            </w:r>
          </w:hyperlink>
        </w:p>
        <w:p w14:paraId="1C5E3EC3" w14:textId="36AFAF78" w:rsidR="006103FA" w:rsidRDefault="006103FA">
          <w:r>
            <w:rPr>
              <w:b/>
              <w:bCs/>
              <w:noProof/>
            </w:rPr>
            <w:fldChar w:fldCharType="end"/>
          </w:r>
        </w:p>
      </w:sdtContent>
    </w:sdt>
    <w:p w14:paraId="428BBD1A" w14:textId="340ADE68" w:rsidR="006103FA" w:rsidRDefault="006103FA">
      <w:r>
        <w:br w:type="page"/>
      </w:r>
    </w:p>
    <w:p w14:paraId="20030896" w14:textId="77777777" w:rsidR="00A9409B" w:rsidRDefault="00A9409B"/>
    <w:p w14:paraId="05E25E79" w14:textId="77777777" w:rsidR="00A9409B" w:rsidRDefault="00A0254C">
      <w:pPr>
        <w:pStyle w:val="Heading1"/>
      </w:pPr>
      <w:bookmarkStart w:id="0" w:name="_Toc237883380"/>
      <w:r>
        <w:t>1. Executive Summary</w:t>
      </w:r>
      <w:bookmarkEnd w:id="0"/>
    </w:p>
    <w:p w14:paraId="69052383" w14:textId="77777777" w:rsidR="00A9409B" w:rsidRPr="006103FA" w:rsidRDefault="00A0254C">
      <w:pPr>
        <w:spacing w:before="60" w:after="120"/>
        <w:jc w:val="both"/>
      </w:pPr>
      <w:r w:rsidRPr="006103FA">
        <w:t>This report presents a comprehensive analysis of Apple Inc.'s (NASDAQ: AAPL) stock performance from its IPO in December 1980 through to 2022 — a period spanning over four decades of extraordinary corporate transformation. Drawing on a dataset of 10,559 daily trading records, the analysis examines long-term growth trends, annual return patterns, trading volume dynamics, and price volatility.</w:t>
      </w:r>
    </w:p>
    <w:p w14:paraId="05304278" w14:textId="77777777" w:rsidR="00A9409B" w:rsidRPr="006103FA" w:rsidRDefault="00A0254C">
      <w:pPr>
        <w:spacing w:before="60" w:after="120"/>
        <w:jc w:val="both"/>
      </w:pPr>
      <w:r w:rsidRPr="006103FA">
        <w:t>Apple's stock recorded a Total Growth of 155,168% over the full period — equivalent to a Compound Annual Growth Rate (CAGR) of approximately 19.2% per year. The best single year on record was 2004, when average prices rose by 162.8%, driven by the commercial breakthrough of the iPod and the launch of the iTunes Music Store. The worst year was 2001, coinciding with the post-dot-com correction and broader market decline.</w:t>
      </w:r>
    </w:p>
    <w:p w14:paraId="27729BF5" w14:textId="77777777" w:rsidR="00A9409B" w:rsidRDefault="00A940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1487"/>
        <w:gridCol w:w="1488"/>
        <w:gridCol w:w="1593"/>
        <w:gridCol w:w="1488"/>
        <w:gridCol w:w="1542"/>
      </w:tblGrid>
      <w:tr w:rsidR="00A9409B" w14:paraId="7F330524"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F5F5F7"/>
            <w:tcMar>
              <w:top w:w="120" w:type="dxa"/>
              <w:left w:w="160" w:type="dxa"/>
              <w:bottom w:w="120" w:type="dxa"/>
              <w:right w:w="160" w:type="dxa"/>
            </w:tcMar>
            <w:vAlign w:val="center"/>
          </w:tcPr>
          <w:p w14:paraId="72D5DFD7" w14:textId="77777777" w:rsidR="00A9409B" w:rsidRDefault="00A0254C">
            <w:pPr>
              <w:spacing w:after="40"/>
              <w:jc w:val="center"/>
            </w:pPr>
            <w:r>
              <w:rPr>
                <w:b/>
                <w:bCs/>
                <w:color w:val="34C759"/>
                <w:sz w:val="32"/>
                <w:szCs w:val="32"/>
              </w:rPr>
              <w:t>155,168%</w:t>
            </w:r>
          </w:p>
          <w:p w14:paraId="11F93325" w14:textId="77777777" w:rsidR="00A9409B" w:rsidRDefault="00A0254C">
            <w:pPr>
              <w:jc w:val="center"/>
            </w:pPr>
            <w:r>
              <w:rPr>
                <w:color w:val="6E6E73"/>
                <w:sz w:val="18"/>
                <w:szCs w:val="18"/>
              </w:rPr>
              <w:t>Total Growth</w:t>
            </w:r>
          </w:p>
        </w:tc>
        <w:tc>
          <w:tcPr>
            <w:tcW w:w="1560" w:type="dxa"/>
            <w:tcBorders>
              <w:top w:val="none" w:sz="0" w:space="0" w:color="FFFFFF"/>
              <w:left w:val="none" w:sz="0" w:space="0" w:color="FFFFFF"/>
              <w:bottom w:val="none" w:sz="0" w:space="0" w:color="FFFFFF"/>
              <w:right w:val="none" w:sz="0" w:space="0" w:color="FFFFFF"/>
            </w:tcBorders>
            <w:shd w:val="clear" w:color="auto" w:fill="F5F5F7"/>
            <w:tcMar>
              <w:top w:w="120" w:type="dxa"/>
              <w:left w:w="160" w:type="dxa"/>
              <w:bottom w:w="120" w:type="dxa"/>
              <w:right w:w="160" w:type="dxa"/>
            </w:tcMar>
            <w:vAlign w:val="center"/>
          </w:tcPr>
          <w:p w14:paraId="202BC59F" w14:textId="77777777" w:rsidR="00A9409B" w:rsidRDefault="00A0254C">
            <w:pPr>
              <w:spacing w:after="40"/>
              <w:jc w:val="center"/>
            </w:pPr>
            <w:r>
              <w:rPr>
                <w:b/>
                <w:bCs/>
                <w:color w:val="0071E3"/>
                <w:sz w:val="32"/>
                <w:szCs w:val="32"/>
              </w:rPr>
              <w:t>19.2%</w:t>
            </w:r>
          </w:p>
          <w:p w14:paraId="4A491A8F" w14:textId="77777777" w:rsidR="00A9409B" w:rsidRDefault="00A0254C">
            <w:pPr>
              <w:jc w:val="center"/>
            </w:pPr>
            <w:r>
              <w:rPr>
                <w:color w:val="6E6E73"/>
                <w:sz w:val="18"/>
                <w:szCs w:val="18"/>
              </w:rPr>
              <w:t>CAGR</w:t>
            </w:r>
          </w:p>
        </w:tc>
        <w:tc>
          <w:tcPr>
            <w:tcW w:w="1560" w:type="dxa"/>
            <w:tcBorders>
              <w:top w:val="none" w:sz="0" w:space="0" w:color="FFFFFF"/>
              <w:left w:val="none" w:sz="0" w:space="0" w:color="FFFFFF"/>
              <w:bottom w:val="none" w:sz="0" w:space="0" w:color="FFFFFF"/>
              <w:right w:val="none" w:sz="0" w:space="0" w:color="FFFFFF"/>
            </w:tcBorders>
            <w:shd w:val="clear" w:color="auto" w:fill="F5F5F7"/>
            <w:tcMar>
              <w:top w:w="120" w:type="dxa"/>
              <w:left w:w="160" w:type="dxa"/>
              <w:bottom w:w="120" w:type="dxa"/>
              <w:right w:w="160" w:type="dxa"/>
            </w:tcMar>
            <w:vAlign w:val="center"/>
          </w:tcPr>
          <w:p w14:paraId="718CC9D2" w14:textId="77777777" w:rsidR="00A9409B" w:rsidRDefault="00A0254C">
            <w:pPr>
              <w:spacing w:after="40"/>
              <w:jc w:val="center"/>
            </w:pPr>
            <w:r>
              <w:rPr>
                <w:b/>
                <w:bCs/>
                <w:color w:val="0071E3"/>
                <w:sz w:val="32"/>
                <w:szCs w:val="32"/>
              </w:rPr>
              <w:t>27.9%</w:t>
            </w:r>
          </w:p>
          <w:p w14:paraId="41277061" w14:textId="77777777" w:rsidR="00A9409B" w:rsidRDefault="00A0254C">
            <w:pPr>
              <w:jc w:val="center"/>
            </w:pPr>
            <w:r>
              <w:rPr>
                <w:color w:val="6E6E73"/>
                <w:sz w:val="18"/>
                <w:szCs w:val="18"/>
              </w:rPr>
              <w:t>Avg. Annual Return</w:t>
            </w:r>
          </w:p>
        </w:tc>
        <w:tc>
          <w:tcPr>
            <w:tcW w:w="1560" w:type="dxa"/>
            <w:tcBorders>
              <w:top w:val="none" w:sz="0" w:space="0" w:color="FFFFFF"/>
              <w:left w:val="none" w:sz="0" w:space="0" w:color="FFFFFF"/>
              <w:bottom w:val="none" w:sz="0" w:space="0" w:color="FFFFFF"/>
              <w:right w:val="none" w:sz="0" w:space="0" w:color="FFFFFF"/>
            </w:tcBorders>
            <w:shd w:val="clear" w:color="auto" w:fill="F5F5F7"/>
            <w:tcMar>
              <w:top w:w="120" w:type="dxa"/>
              <w:left w:w="160" w:type="dxa"/>
              <w:bottom w:w="120" w:type="dxa"/>
              <w:right w:w="160" w:type="dxa"/>
            </w:tcMar>
            <w:vAlign w:val="center"/>
          </w:tcPr>
          <w:p w14:paraId="210F1314" w14:textId="77777777" w:rsidR="00A9409B" w:rsidRDefault="00A0254C">
            <w:pPr>
              <w:spacing w:after="40"/>
              <w:jc w:val="center"/>
            </w:pPr>
            <w:r>
              <w:rPr>
                <w:b/>
                <w:bCs/>
                <w:color w:val="34C759"/>
                <w:sz w:val="32"/>
                <w:szCs w:val="32"/>
              </w:rPr>
              <w:t>+162.8%</w:t>
            </w:r>
          </w:p>
          <w:p w14:paraId="5A5BB7F0" w14:textId="77777777" w:rsidR="00A9409B" w:rsidRDefault="00A0254C">
            <w:pPr>
              <w:jc w:val="center"/>
            </w:pPr>
            <w:r>
              <w:rPr>
                <w:color w:val="6E6E73"/>
                <w:sz w:val="18"/>
                <w:szCs w:val="18"/>
              </w:rPr>
              <w:t>Best Year (2004)</w:t>
            </w:r>
          </w:p>
        </w:tc>
        <w:tc>
          <w:tcPr>
            <w:tcW w:w="1560" w:type="dxa"/>
            <w:tcBorders>
              <w:top w:val="none" w:sz="0" w:space="0" w:color="FFFFFF"/>
              <w:left w:val="none" w:sz="0" w:space="0" w:color="FFFFFF"/>
              <w:bottom w:val="none" w:sz="0" w:space="0" w:color="FFFFFF"/>
              <w:right w:val="none" w:sz="0" w:space="0" w:color="FFFFFF"/>
            </w:tcBorders>
            <w:shd w:val="clear" w:color="auto" w:fill="F5F5F7"/>
            <w:tcMar>
              <w:top w:w="120" w:type="dxa"/>
              <w:left w:w="160" w:type="dxa"/>
              <w:bottom w:w="120" w:type="dxa"/>
              <w:right w:w="160" w:type="dxa"/>
            </w:tcMar>
            <w:vAlign w:val="center"/>
          </w:tcPr>
          <w:p w14:paraId="0BAC4B95" w14:textId="77777777" w:rsidR="00A9409B" w:rsidRDefault="00A0254C">
            <w:pPr>
              <w:spacing w:after="40"/>
              <w:jc w:val="center"/>
            </w:pPr>
            <w:r>
              <w:rPr>
                <w:b/>
                <w:bCs/>
                <w:color w:val="FF3B30"/>
                <w:sz w:val="32"/>
                <w:szCs w:val="32"/>
              </w:rPr>
              <w:t>-55.8%</w:t>
            </w:r>
          </w:p>
          <w:p w14:paraId="6BDC3AFD" w14:textId="77777777" w:rsidR="00A9409B" w:rsidRDefault="00A0254C">
            <w:pPr>
              <w:jc w:val="center"/>
            </w:pPr>
            <w:r>
              <w:rPr>
                <w:color w:val="6E6E73"/>
                <w:sz w:val="18"/>
                <w:szCs w:val="18"/>
              </w:rPr>
              <w:t>Worst Year (2001)</w:t>
            </w:r>
          </w:p>
        </w:tc>
        <w:tc>
          <w:tcPr>
            <w:tcW w:w="1560" w:type="dxa"/>
            <w:tcBorders>
              <w:top w:val="none" w:sz="0" w:space="0" w:color="FFFFFF"/>
              <w:left w:val="none" w:sz="0" w:space="0" w:color="FFFFFF"/>
              <w:bottom w:val="none" w:sz="0" w:space="0" w:color="FFFFFF"/>
              <w:right w:val="none" w:sz="0" w:space="0" w:color="FFFFFF"/>
            </w:tcBorders>
            <w:shd w:val="clear" w:color="auto" w:fill="F5F5F7"/>
            <w:tcMar>
              <w:top w:w="120" w:type="dxa"/>
              <w:left w:w="160" w:type="dxa"/>
              <w:bottom w:w="120" w:type="dxa"/>
              <w:right w:w="160" w:type="dxa"/>
            </w:tcMar>
            <w:vAlign w:val="center"/>
          </w:tcPr>
          <w:p w14:paraId="7ACFEE06" w14:textId="77777777" w:rsidR="00A9409B" w:rsidRDefault="00A0254C">
            <w:pPr>
              <w:spacing w:after="40"/>
              <w:jc w:val="center"/>
            </w:pPr>
            <w:r>
              <w:rPr>
                <w:b/>
                <w:bCs/>
                <w:color w:val="1C1C1E"/>
                <w:sz w:val="32"/>
                <w:szCs w:val="32"/>
              </w:rPr>
              <w:t>$155.74</w:t>
            </w:r>
          </w:p>
          <w:p w14:paraId="15EB4E99" w14:textId="77777777" w:rsidR="00A9409B" w:rsidRDefault="00A0254C">
            <w:pPr>
              <w:jc w:val="center"/>
            </w:pPr>
            <w:r>
              <w:rPr>
                <w:color w:val="6E6E73"/>
                <w:sz w:val="18"/>
                <w:szCs w:val="18"/>
              </w:rPr>
              <w:t>Latest Close</w:t>
            </w:r>
          </w:p>
        </w:tc>
      </w:tr>
    </w:tbl>
    <w:p w14:paraId="635933CE" w14:textId="77777777" w:rsidR="00A9409B" w:rsidRDefault="00A9409B">
      <w:pPr>
        <w:spacing w:after="200"/>
      </w:pPr>
    </w:p>
    <w:p w14:paraId="70255E3E" w14:textId="77777777" w:rsidR="00A9409B" w:rsidRDefault="00A0254C">
      <w:pPr>
        <w:pStyle w:val="Heading1"/>
      </w:pPr>
      <w:bookmarkStart w:id="1" w:name="_Toc237883381"/>
      <w:r>
        <w:t>2. Company Background</w:t>
      </w:r>
      <w:bookmarkEnd w:id="1"/>
    </w:p>
    <w:p w14:paraId="06620840" w14:textId="77777777" w:rsidR="00A9409B" w:rsidRPr="006103FA" w:rsidRDefault="00A0254C">
      <w:pPr>
        <w:spacing w:before="60" w:after="120"/>
        <w:jc w:val="both"/>
      </w:pPr>
      <w:r w:rsidRPr="006103FA">
        <w:lastRenderedPageBreak/>
        <w:t>Apple Inc. is an American multinational technology corporation headquartered in Cupertino, California. Founded in 1976 by Steve Jobs, Steve Wozniak, and Ronald Wayne, the company went public on December 12, 1980, at an IPO price of $22 per share — or approximately $0.10 per share on a split-adjusted basis.</w:t>
      </w:r>
    </w:p>
    <w:p w14:paraId="79E33472" w14:textId="77777777" w:rsidR="00A9409B" w:rsidRPr="006103FA" w:rsidRDefault="00A0254C">
      <w:pPr>
        <w:spacing w:before="60" w:after="120"/>
        <w:jc w:val="both"/>
      </w:pPr>
      <w:r w:rsidRPr="006103FA">
        <w:t>Over the study period, Apple underwent several transformational phases that are clearly visible in the stock data. The early 1980s saw rapid post-IPO growth followed by a prolonged decline through the mid-to-late 1990s. Steve Jobs' return in 1997 marked the beginning of a sustained recovery, while the 2000s product launches — the iPod (2001), iPhone (2007), and iPad (2010) — generated successive waves of value creation. The company's market capitalisation crossed $1 trillion in 2018 and $2 trillion in 2020,</w:t>
      </w:r>
      <w:r w:rsidRPr="006103FA">
        <w:t xml:space="preserve"> making it the most valuable publicly traded company in history at the time.</w:t>
      </w:r>
    </w:p>
    <w:p w14:paraId="1C5FF845" w14:textId="77777777" w:rsidR="00A9409B" w:rsidRPr="006103FA" w:rsidRDefault="00A0254C">
      <w:pPr>
        <w:spacing w:before="60" w:after="120"/>
        <w:jc w:val="both"/>
      </w:pPr>
      <w:r w:rsidRPr="006103FA">
        <w:t>The dataset used in this report contains daily OHLCV data (Open, High, Low, Close, Volume) from December 1980 to December 2022, aggregated into annual averages for trend analysis.</w:t>
      </w:r>
    </w:p>
    <w:p w14:paraId="28C4367A" w14:textId="77777777" w:rsidR="00A9409B" w:rsidRDefault="00A0254C">
      <w:pPr>
        <w:pStyle w:val="Heading1"/>
      </w:pPr>
      <w:bookmarkStart w:id="2" w:name="_Toc237883382"/>
      <w:r>
        <w:t>3. Data &amp; Methodology</w:t>
      </w:r>
      <w:bookmarkEnd w:id="2"/>
    </w:p>
    <w:p w14:paraId="373351EE" w14:textId="77777777" w:rsidR="00A9409B" w:rsidRDefault="00A0254C">
      <w:pPr>
        <w:pStyle w:val="Heading2"/>
      </w:pPr>
      <w:bookmarkStart w:id="3" w:name="_Toc237883383"/>
      <w:r>
        <w:t>3.1 Data Source</w:t>
      </w:r>
      <w:bookmarkEnd w:id="3"/>
    </w:p>
    <w:p w14:paraId="46DAD640" w14:textId="77777777" w:rsidR="00A9409B" w:rsidRPr="006103FA" w:rsidRDefault="00A0254C">
      <w:pPr>
        <w:spacing w:before="60" w:after="120"/>
        <w:jc w:val="both"/>
      </w:pPr>
      <w:r w:rsidRPr="006103FA">
        <w:t>The raw dataset contains 10,559 daily trading observations for Apple Inc. across 42 years. Each record includes: Date, Open price, High price, Low price, Closing price, and Trading Volume. Prices reflect split-adjusted values throughout, ensuring comparability across the full time series.</w:t>
      </w:r>
    </w:p>
    <w:p w14:paraId="545A3755" w14:textId="77777777" w:rsidR="00A9409B" w:rsidRDefault="00A0254C">
      <w:pPr>
        <w:pStyle w:val="Heading2"/>
      </w:pPr>
      <w:bookmarkStart w:id="4" w:name="_Toc237883384"/>
      <w:r>
        <w:t>3.2 Key Metrics Defined</w:t>
      </w:r>
      <w:bookmarkEnd w:id="4"/>
    </w:p>
    <w:p w14:paraId="240988CE" w14:textId="77777777" w:rsidR="00A9409B" w:rsidRDefault="00A9409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9409B" w14:paraId="36638C11" w14:textId="77777777">
        <w:tblPrEx>
          <w:tblCellMar>
            <w:top w:w="0" w:type="dxa"/>
            <w:bottom w:w="0" w:type="dxa"/>
          </w:tblCellMar>
        </w:tblPrEx>
        <w:trPr>
          <w:tblHeader/>
        </w:trPr>
        <w:tc>
          <w:tcPr>
            <w:tcW w:w="4680" w:type="dxa"/>
            <w:tcBorders>
              <w:top w:val="single" w:sz="1" w:space="0" w:color="D1D1D6"/>
              <w:left w:val="single" w:sz="1" w:space="0" w:color="D1D1D6"/>
              <w:bottom w:val="single" w:sz="1" w:space="0" w:color="D1D1D6"/>
              <w:right w:val="single" w:sz="1" w:space="0" w:color="D1D1D6"/>
            </w:tcBorders>
            <w:shd w:val="clear" w:color="auto" w:fill="1C1C1E"/>
            <w:tcMar>
              <w:top w:w="80" w:type="dxa"/>
              <w:left w:w="120" w:type="dxa"/>
              <w:bottom w:w="80" w:type="dxa"/>
              <w:right w:w="120" w:type="dxa"/>
            </w:tcMar>
          </w:tcPr>
          <w:p w14:paraId="1CD200E8" w14:textId="77777777" w:rsidR="00A9409B" w:rsidRDefault="00A0254C">
            <w:pPr>
              <w:jc w:val="center"/>
            </w:pPr>
            <w:r>
              <w:rPr>
                <w:b/>
                <w:bCs/>
                <w:color w:val="FFFFFF"/>
                <w:sz w:val="20"/>
                <w:szCs w:val="20"/>
              </w:rPr>
              <w:t>Metric</w:t>
            </w:r>
          </w:p>
        </w:tc>
        <w:tc>
          <w:tcPr>
            <w:tcW w:w="4680" w:type="dxa"/>
            <w:tcBorders>
              <w:top w:val="single" w:sz="1" w:space="0" w:color="D1D1D6"/>
              <w:left w:val="single" w:sz="1" w:space="0" w:color="D1D1D6"/>
              <w:bottom w:val="single" w:sz="1" w:space="0" w:color="D1D1D6"/>
              <w:right w:val="single" w:sz="1" w:space="0" w:color="D1D1D6"/>
            </w:tcBorders>
            <w:shd w:val="clear" w:color="auto" w:fill="1C1C1E"/>
            <w:tcMar>
              <w:top w:w="80" w:type="dxa"/>
              <w:left w:w="120" w:type="dxa"/>
              <w:bottom w:w="80" w:type="dxa"/>
              <w:right w:w="120" w:type="dxa"/>
            </w:tcMar>
          </w:tcPr>
          <w:p w14:paraId="3F79955B" w14:textId="77777777" w:rsidR="00A9409B" w:rsidRDefault="00A0254C">
            <w:pPr>
              <w:jc w:val="center"/>
            </w:pPr>
            <w:r>
              <w:rPr>
                <w:b/>
                <w:bCs/>
                <w:color w:val="FFFFFF"/>
                <w:sz w:val="20"/>
                <w:szCs w:val="20"/>
              </w:rPr>
              <w:t>Formula / Definition</w:t>
            </w:r>
          </w:p>
        </w:tc>
      </w:tr>
      <w:tr w:rsidR="00A9409B" w14:paraId="151A70D6" w14:textId="77777777">
        <w:tblPrEx>
          <w:tblCellMar>
            <w:top w:w="0" w:type="dxa"/>
            <w:bottom w:w="0" w:type="dxa"/>
          </w:tblCellMar>
        </w:tblPrEx>
        <w:tc>
          <w:tcPr>
            <w:tcW w:w="468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24013102" w14:textId="77777777" w:rsidR="00A9409B" w:rsidRPr="006103FA" w:rsidRDefault="00A0254C">
            <w:r w:rsidRPr="006103FA">
              <w:rPr>
                <w:sz w:val="20"/>
                <w:szCs w:val="20"/>
              </w:rPr>
              <w:t>Total Growth (%)</w:t>
            </w:r>
          </w:p>
        </w:tc>
        <w:tc>
          <w:tcPr>
            <w:tcW w:w="468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5CC1E27B" w14:textId="77777777" w:rsidR="00A9409B" w:rsidRPr="006103FA" w:rsidRDefault="00A0254C">
            <w:pPr>
              <w:jc w:val="center"/>
            </w:pPr>
            <w:r w:rsidRPr="006103FA">
              <w:rPr>
                <w:sz w:val="20"/>
                <w:szCs w:val="20"/>
              </w:rPr>
              <w:t>((Last Close − First Close) ÷ First Close) × 100</w:t>
            </w:r>
          </w:p>
        </w:tc>
      </w:tr>
      <w:tr w:rsidR="00A9409B" w14:paraId="4F0BAEF2" w14:textId="77777777">
        <w:tblPrEx>
          <w:tblCellMar>
            <w:top w:w="0" w:type="dxa"/>
            <w:bottom w:w="0" w:type="dxa"/>
          </w:tblCellMar>
        </w:tblPrEx>
        <w:tc>
          <w:tcPr>
            <w:tcW w:w="4680" w:type="dxa"/>
            <w:tcBorders>
              <w:top w:val="single" w:sz="1" w:space="0" w:color="D1D1D6"/>
              <w:left w:val="single" w:sz="1" w:space="0" w:color="D1D1D6"/>
              <w:bottom w:val="single" w:sz="1" w:space="0" w:color="D1D1D6"/>
              <w:right w:val="single" w:sz="1" w:space="0" w:color="D1D1D6"/>
            </w:tcBorders>
            <w:shd w:val="clear" w:color="auto" w:fill="F9F9FB"/>
            <w:tcMar>
              <w:top w:w="60" w:type="dxa"/>
              <w:left w:w="120" w:type="dxa"/>
              <w:bottom w:w="60" w:type="dxa"/>
              <w:right w:w="120" w:type="dxa"/>
            </w:tcMar>
          </w:tcPr>
          <w:p w14:paraId="326787A7" w14:textId="77777777" w:rsidR="00A9409B" w:rsidRPr="006103FA" w:rsidRDefault="00A0254C">
            <w:r w:rsidRPr="006103FA">
              <w:rPr>
                <w:sz w:val="20"/>
                <w:szCs w:val="20"/>
              </w:rPr>
              <w:t>CAGR</w:t>
            </w:r>
          </w:p>
        </w:tc>
        <w:tc>
          <w:tcPr>
            <w:tcW w:w="4680" w:type="dxa"/>
            <w:tcBorders>
              <w:top w:val="single" w:sz="1" w:space="0" w:color="D1D1D6"/>
              <w:left w:val="single" w:sz="1" w:space="0" w:color="D1D1D6"/>
              <w:bottom w:val="single" w:sz="1" w:space="0" w:color="D1D1D6"/>
              <w:right w:val="single" w:sz="1" w:space="0" w:color="D1D1D6"/>
            </w:tcBorders>
            <w:shd w:val="clear" w:color="auto" w:fill="F9F9FB"/>
            <w:tcMar>
              <w:top w:w="60" w:type="dxa"/>
              <w:left w:w="120" w:type="dxa"/>
              <w:bottom w:w="60" w:type="dxa"/>
              <w:right w:w="120" w:type="dxa"/>
            </w:tcMar>
          </w:tcPr>
          <w:p w14:paraId="48CBD734" w14:textId="77777777" w:rsidR="00A9409B" w:rsidRPr="006103FA" w:rsidRDefault="00A0254C">
            <w:pPr>
              <w:jc w:val="center"/>
            </w:pPr>
            <w:r w:rsidRPr="006103FA">
              <w:rPr>
                <w:sz w:val="20"/>
                <w:szCs w:val="20"/>
              </w:rPr>
              <w:t xml:space="preserve">(Ending Close ÷ Beginning </w:t>
            </w:r>
            <w:proofErr w:type="gramStart"/>
            <w:r w:rsidRPr="006103FA">
              <w:rPr>
                <w:sz w:val="20"/>
                <w:szCs w:val="20"/>
              </w:rPr>
              <w:t>Close)^</w:t>
            </w:r>
            <w:proofErr w:type="gramEnd"/>
            <w:r w:rsidRPr="006103FA">
              <w:rPr>
                <w:sz w:val="20"/>
                <w:szCs w:val="20"/>
              </w:rPr>
              <w:t>(1 ÷ Years) − 1</w:t>
            </w:r>
          </w:p>
        </w:tc>
      </w:tr>
      <w:tr w:rsidR="00A9409B" w14:paraId="778CE4D4" w14:textId="77777777">
        <w:tblPrEx>
          <w:tblCellMar>
            <w:top w:w="0" w:type="dxa"/>
            <w:bottom w:w="0" w:type="dxa"/>
          </w:tblCellMar>
        </w:tblPrEx>
        <w:tc>
          <w:tcPr>
            <w:tcW w:w="468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0E435794" w14:textId="77777777" w:rsidR="00A9409B" w:rsidRPr="006103FA" w:rsidRDefault="00A0254C">
            <w:r w:rsidRPr="006103FA">
              <w:rPr>
                <w:sz w:val="20"/>
                <w:szCs w:val="20"/>
              </w:rPr>
              <w:t>Annual Return</w:t>
            </w:r>
          </w:p>
        </w:tc>
        <w:tc>
          <w:tcPr>
            <w:tcW w:w="468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48837E30" w14:textId="77777777" w:rsidR="00A9409B" w:rsidRPr="006103FA" w:rsidRDefault="00A0254C">
            <w:pPr>
              <w:jc w:val="center"/>
            </w:pPr>
            <w:r w:rsidRPr="006103FA">
              <w:rPr>
                <w:sz w:val="20"/>
                <w:szCs w:val="20"/>
              </w:rPr>
              <w:t>(Avg. Close Year N ÷ Avg. Close Year N−1) − 1</w:t>
            </w:r>
          </w:p>
        </w:tc>
      </w:tr>
      <w:tr w:rsidR="00A9409B" w14:paraId="5DC26EDA" w14:textId="77777777">
        <w:tblPrEx>
          <w:tblCellMar>
            <w:top w:w="0" w:type="dxa"/>
            <w:bottom w:w="0" w:type="dxa"/>
          </w:tblCellMar>
        </w:tblPrEx>
        <w:tc>
          <w:tcPr>
            <w:tcW w:w="4680" w:type="dxa"/>
            <w:tcBorders>
              <w:top w:val="single" w:sz="1" w:space="0" w:color="D1D1D6"/>
              <w:left w:val="single" w:sz="1" w:space="0" w:color="D1D1D6"/>
              <w:bottom w:val="single" w:sz="1" w:space="0" w:color="D1D1D6"/>
              <w:right w:val="single" w:sz="1" w:space="0" w:color="D1D1D6"/>
            </w:tcBorders>
            <w:shd w:val="clear" w:color="auto" w:fill="F9F9FB"/>
            <w:tcMar>
              <w:top w:w="60" w:type="dxa"/>
              <w:left w:w="120" w:type="dxa"/>
              <w:bottom w:w="60" w:type="dxa"/>
              <w:right w:w="120" w:type="dxa"/>
            </w:tcMar>
          </w:tcPr>
          <w:p w14:paraId="7333A0B5" w14:textId="77777777" w:rsidR="00A9409B" w:rsidRPr="006103FA" w:rsidRDefault="00A0254C">
            <w:r w:rsidRPr="006103FA">
              <w:rPr>
                <w:sz w:val="20"/>
                <w:szCs w:val="20"/>
              </w:rPr>
              <w:t>Volatility</w:t>
            </w:r>
          </w:p>
        </w:tc>
        <w:tc>
          <w:tcPr>
            <w:tcW w:w="4680" w:type="dxa"/>
            <w:tcBorders>
              <w:top w:val="single" w:sz="1" w:space="0" w:color="D1D1D6"/>
              <w:left w:val="single" w:sz="1" w:space="0" w:color="D1D1D6"/>
              <w:bottom w:val="single" w:sz="1" w:space="0" w:color="D1D1D6"/>
              <w:right w:val="single" w:sz="1" w:space="0" w:color="D1D1D6"/>
            </w:tcBorders>
            <w:shd w:val="clear" w:color="auto" w:fill="F9F9FB"/>
            <w:tcMar>
              <w:top w:w="60" w:type="dxa"/>
              <w:left w:w="120" w:type="dxa"/>
              <w:bottom w:w="60" w:type="dxa"/>
              <w:right w:w="120" w:type="dxa"/>
            </w:tcMar>
          </w:tcPr>
          <w:p w14:paraId="1EA93E29" w14:textId="77777777" w:rsidR="00A9409B" w:rsidRPr="006103FA" w:rsidRDefault="00A0254C">
            <w:pPr>
              <w:jc w:val="center"/>
            </w:pPr>
            <w:r w:rsidRPr="006103FA">
              <w:rPr>
                <w:sz w:val="20"/>
                <w:szCs w:val="20"/>
              </w:rPr>
              <w:t>Daily High − Daily Low (annual average)</w:t>
            </w:r>
          </w:p>
        </w:tc>
      </w:tr>
      <w:tr w:rsidR="00A9409B" w14:paraId="16953811" w14:textId="77777777">
        <w:tblPrEx>
          <w:tblCellMar>
            <w:top w:w="0" w:type="dxa"/>
            <w:bottom w:w="0" w:type="dxa"/>
          </w:tblCellMar>
        </w:tblPrEx>
        <w:tc>
          <w:tcPr>
            <w:tcW w:w="468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072397BC" w14:textId="77777777" w:rsidR="00A9409B" w:rsidRPr="006103FA" w:rsidRDefault="00A0254C">
            <w:r w:rsidRPr="006103FA">
              <w:rPr>
                <w:sz w:val="20"/>
                <w:szCs w:val="20"/>
              </w:rPr>
              <w:t>Moving Average</w:t>
            </w:r>
          </w:p>
        </w:tc>
        <w:tc>
          <w:tcPr>
            <w:tcW w:w="468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7B80C868" w14:textId="77777777" w:rsidR="00A9409B" w:rsidRPr="006103FA" w:rsidRDefault="00A0254C">
            <w:pPr>
              <w:jc w:val="center"/>
            </w:pPr>
            <w:r w:rsidRPr="006103FA">
              <w:rPr>
                <w:sz w:val="20"/>
                <w:szCs w:val="20"/>
              </w:rPr>
              <w:t>Rolling 10-year average of annual closing prices</w:t>
            </w:r>
          </w:p>
        </w:tc>
      </w:tr>
    </w:tbl>
    <w:p w14:paraId="7594A86F" w14:textId="77777777" w:rsidR="00A9409B" w:rsidRDefault="00A9409B">
      <w:pPr>
        <w:spacing w:after="160"/>
      </w:pPr>
    </w:p>
    <w:p w14:paraId="630E965E" w14:textId="77777777" w:rsidR="00A9409B" w:rsidRPr="006103FA" w:rsidRDefault="00A0254C">
      <w:pPr>
        <w:spacing w:before="60" w:after="120"/>
        <w:jc w:val="both"/>
      </w:pPr>
      <w:r w:rsidRPr="006103FA">
        <w:t>Annual returns were calculated using the average closing price per calendar year rather than single end-of-year data points, to reduce the influence of short-term price spikes on the trend analysis.</w:t>
      </w:r>
    </w:p>
    <w:p w14:paraId="41AB91A7" w14:textId="77777777" w:rsidR="00A9409B" w:rsidRDefault="00A0254C">
      <w:pPr>
        <w:pStyle w:val="Heading1"/>
      </w:pPr>
      <w:bookmarkStart w:id="5" w:name="_Toc237883385"/>
      <w:r>
        <w:t>4. Long-Term Growth Analysis</w:t>
      </w:r>
      <w:bookmarkEnd w:id="5"/>
    </w:p>
    <w:p w14:paraId="0151957A" w14:textId="77777777" w:rsidR="00A9409B" w:rsidRDefault="00A0254C">
      <w:pPr>
        <w:pStyle w:val="Heading2"/>
      </w:pPr>
      <w:bookmarkStart w:id="6" w:name="_Toc237883386"/>
      <w:r>
        <w:t>4.1 Closing Price Trend (1980–2022)</w:t>
      </w:r>
      <w:bookmarkEnd w:id="6"/>
    </w:p>
    <w:p w14:paraId="31E02A22" w14:textId="77777777" w:rsidR="00A9409B" w:rsidRPr="006103FA" w:rsidRDefault="00A0254C">
      <w:pPr>
        <w:spacing w:before="60" w:after="120"/>
        <w:jc w:val="both"/>
      </w:pPr>
      <w:r w:rsidRPr="006103FA">
        <w:t>Apple's stock remained below $1 (split-adjusted) for most of the 1980s and 1990s. The inflection point came after 2003, with the average annual close rising from $0.28 in 2003 to $157.18 in 2022 — a 55,700% increase over just nineteen years. This exponential trajectory accelerated sharply post-2010, largely driven by iPhone dominance, services revenue growth, and aggressive share buyback programmes that reduced the float and supported earnings-per-share growth.</w:t>
      </w:r>
    </w:p>
    <w:p w14:paraId="7FBD38C2" w14:textId="77777777" w:rsidR="00A9409B" w:rsidRPr="006103FA" w:rsidRDefault="00A0254C">
      <w:pPr>
        <w:spacing w:before="60" w:after="120"/>
        <w:jc w:val="both"/>
      </w:pPr>
      <w:r w:rsidRPr="006103FA">
        <w:lastRenderedPageBreak/>
        <w:t>The 10-year moving average confirms a smooth, accelerating upward trend throughout the 2010s, with no structural reversal visible even during the broader market selloffs of 2018 and 2022.</w:t>
      </w:r>
    </w:p>
    <w:p w14:paraId="19377117" w14:textId="77777777" w:rsidR="00A9409B" w:rsidRDefault="00A0254C">
      <w:pPr>
        <w:pStyle w:val="Heading2"/>
      </w:pPr>
      <w:bookmarkStart w:id="7" w:name="_Toc237883387"/>
      <w:r>
        <w:t>4.2 Annual Returns</w:t>
      </w:r>
      <w:bookmarkEnd w:id="7"/>
    </w:p>
    <w:p w14:paraId="7EFA2BEF" w14:textId="77777777" w:rsidR="00A9409B" w:rsidRDefault="00A0254C">
      <w:pPr>
        <w:spacing w:before="60" w:after="120"/>
        <w:jc w:val="both"/>
      </w:pPr>
      <w:r w:rsidRPr="006103FA">
        <w:t>Annual returns were highly volatile in the early period (1980–2002), reflecting a smaller company subject to product cycles and market sentiment shifts. Post-2003, while individual years still showed variation, the long-run trend became more consistently positive.</w:t>
      </w:r>
    </w:p>
    <w:p w14:paraId="5E7472F2" w14:textId="77777777" w:rsidR="00A9409B" w:rsidRDefault="00A9409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9409B" w14:paraId="52078F72" w14:textId="77777777">
        <w:tblPrEx>
          <w:tblCellMar>
            <w:top w:w="0" w:type="dxa"/>
            <w:bottom w:w="0" w:type="dxa"/>
          </w:tblCellMar>
        </w:tblPrEx>
        <w:trPr>
          <w:tblHeader/>
        </w:trPr>
        <w:tc>
          <w:tcPr>
            <w:tcW w:w="2340" w:type="dxa"/>
            <w:tcBorders>
              <w:top w:val="single" w:sz="1" w:space="0" w:color="D1D1D6"/>
              <w:left w:val="single" w:sz="1" w:space="0" w:color="D1D1D6"/>
              <w:bottom w:val="single" w:sz="1" w:space="0" w:color="D1D1D6"/>
              <w:right w:val="single" w:sz="1" w:space="0" w:color="D1D1D6"/>
            </w:tcBorders>
            <w:shd w:val="clear" w:color="auto" w:fill="1C1C1E"/>
            <w:tcMar>
              <w:top w:w="80" w:type="dxa"/>
              <w:left w:w="120" w:type="dxa"/>
              <w:bottom w:w="80" w:type="dxa"/>
              <w:right w:w="120" w:type="dxa"/>
            </w:tcMar>
          </w:tcPr>
          <w:p w14:paraId="346AA952" w14:textId="77777777" w:rsidR="00A9409B" w:rsidRDefault="00A0254C">
            <w:pPr>
              <w:jc w:val="center"/>
            </w:pPr>
            <w:r>
              <w:rPr>
                <w:b/>
                <w:bCs/>
                <w:color w:val="FFFFFF"/>
                <w:sz w:val="20"/>
                <w:szCs w:val="20"/>
              </w:rPr>
              <w:t>Year</w:t>
            </w:r>
          </w:p>
        </w:tc>
        <w:tc>
          <w:tcPr>
            <w:tcW w:w="2340" w:type="dxa"/>
            <w:tcBorders>
              <w:top w:val="single" w:sz="1" w:space="0" w:color="D1D1D6"/>
              <w:left w:val="single" w:sz="1" w:space="0" w:color="D1D1D6"/>
              <w:bottom w:val="single" w:sz="1" w:space="0" w:color="D1D1D6"/>
              <w:right w:val="single" w:sz="1" w:space="0" w:color="D1D1D6"/>
            </w:tcBorders>
            <w:shd w:val="clear" w:color="auto" w:fill="1C1C1E"/>
            <w:tcMar>
              <w:top w:w="80" w:type="dxa"/>
              <w:left w:w="120" w:type="dxa"/>
              <w:bottom w:w="80" w:type="dxa"/>
              <w:right w:w="120" w:type="dxa"/>
            </w:tcMar>
          </w:tcPr>
          <w:p w14:paraId="7AEE8ED8" w14:textId="77777777" w:rsidR="00A9409B" w:rsidRDefault="00A0254C">
            <w:pPr>
              <w:jc w:val="center"/>
            </w:pPr>
            <w:r>
              <w:rPr>
                <w:b/>
                <w:bCs/>
                <w:color w:val="FFFFFF"/>
                <w:sz w:val="20"/>
                <w:szCs w:val="20"/>
              </w:rPr>
              <w:t>Avg. Close ($)</w:t>
            </w:r>
          </w:p>
        </w:tc>
        <w:tc>
          <w:tcPr>
            <w:tcW w:w="2340" w:type="dxa"/>
            <w:tcBorders>
              <w:top w:val="single" w:sz="1" w:space="0" w:color="D1D1D6"/>
              <w:left w:val="single" w:sz="1" w:space="0" w:color="D1D1D6"/>
              <w:bottom w:val="single" w:sz="1" w:space="0" w:color="D1D1D6"/>
              <w:right w:val="single" w:sz="1" w:space="0" w:color="D1D1D6"/>
            </w:tcBorders>
            <w:shd w:val="clear" w:color="auto" w:fill="1C1C1E"/>
            <w:tcMar>
              <w:top w:w="80" w:type="dxa"/>
              <w:left w:w="120" w:type="dxa"/>
              <w:bottom w:w="80" w:type="dxa"/>
              <w:right w:w="120" w:type="dxa"/>
            </w:tcMar>
          </w:tcPr>
          <w:p w14:paraId="2CEAEF6D" w14:textId="77777777" w:rsidR="00A9409B" w:rsidRDefault="00A0254C">
            <w:pPr>
              <w:jc w:val="center"/>
            </w:pPr>
            <w:r>
              <w:rPr>
                <w:b/>
                <w:bCs/>
                <w:color w:val="FFFFFF"/>
                <w:sz w:val="20"/>
                <w:szCs w:val="20"/>
              </w:rPr>
              <w:t>Annual Return</w:t>
            </w:r>
          </w:p>
        </w:tc>
        <w:tc>
          <w:tcPr>
            <w:tcW w:w="2340" w:type="dxa"/>
            <w:tcBorders>
              <w:top w:val="single" w:sz="1" w:space="0" w:color="D1D1D6"/>
              <w:left w:val="single" w:sz="1" w:space="0" w:color="D1D1D6"/>
              <w:bottom w:val="single" w:sz="1" w:space="0" w:color="D1D1D6"/>
              <w:right w:val="single" w:sz="1" w:space="0" w:color="D1D1D6"/>
            </w:tcBorders>
            <w:shd w:val="clear" w:color="auto" w:fill="1C1C1E"/>
            <w:tcMar>
              <w:top w:w="80" w:type="dxa"/>
              <w:left w:w="120" w:type="dxa"/>
              <w:bottom w:w="80" w:type="dxa"/>
              <w:right w:w="120" w:type="dxa"/>
            </w:tcMar>
          </w:tcPr>
          <w:p w14:paraId="4BF00549" w14:textId="77777777" w:rsidR="00A9409B" w:rsidRDefault="00A0254C">
            <w:pPr>
              <w:jc w:val="center"/>
            </w:pPr>
            <w:r>
              <w:rPr>
                <w:b/>
                <w:bCs/>
                <w:color w:val="FFFFFF"/>
                <w:sz w:val="20"/>
                <w:szCs w:val="20"/>
              </w:rPr>
              <w:t>Observation</w:t>
            </w:r>
          </w:p>
        </w:tc>
      </w:tr>
      <w:tr w:rsidR="00A9409B" w14:paraId="6182CB0D" w14:textId="77777777">
        <w:tblPrEx>
          <w:tblCellMar>
            <w:top w:w="0" w:type="dxa"/>
            <w:bottom w:w="0" w:type="dxa"/>
          </w:tblCellMar>
        </w:tblPrEx>
        <w:tc>
          <w:tcPr>
            <w:tcW w:w="234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0716DEA9" w14:textId="77777777" w:rsidR="00A9409B" w:rsidRPr="006103FA" w:rsidRDefault="00A0254C">
            <w:r w:rsidRPr="006103FA">
              <w:rPr>
                <w:sz w:val="20"/>
                <w:szCs w:val="20"/>
              </w:rPr>
              <w:t>1980</w:t>
            </w:r>
          </w:p>
        </w:tc>
        <w:tc>
          <w:tcPr>
            <w:tcW w:w="234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1368AF7F" w14:textId="77777777" w:rsidR="00A9409B" w:rsidRPr="006103FA" w:rsidRDefault="00A0254C">
            <w:pPr>
              <w:jc w:val="center"/>
            </w:pPr>
            <w:r w:rsidRPr="006103FA">
              <w:rPr>
                <w:sz w:val="20"/>
                <w:szCs w:val="20"/>
              </w:rPr>
              <w:t>$0.106</w:t>
            </w:r>
          </w:p>
        </w:tc>
        <w:tc>
          <w:tcPr>
            <w:tcW w:w="234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32215429" w14:textId="77777777" w:rsidR="00A9409B" w:rsidRDefault="00A0254C">
            <w:pPr>
              <w:jc w:val="center"/>
            </w:pPr>
            <w:r>
              <w:rPr>
                <w:color w:val="6E6E73"/>
                <w:sz w:val="20"/>
                <w:szCs w:val="20"/>
              </w:rPr>
              <w:t>—</w:t>
            </w:r>
          </w:p>
        </w:tc>
        <w:tc>
          <w:tcPr>
            <w:tcW w:w="234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43A66523" w14:textId="77777777" w:rsidR="00A9409B" w:rsidRPr="006103FA" w:rsidRDefault="00A0254C">
            <w:pPr>
              <w:jc w:val="center"/>
            </w:pPr>
            <w:r w:rsidRPr="006103FA">
              <w:rPr>
                <w:sz w:val="20"/>
                <w:szCs w:val="20"/>
              </w:rPr>
              <w:t>IPO year</w:t>
            </w:r>
          </w:p>
        </w:tc>
      </w:tr>
      <w:tr w:rsidR="00A9409B" w14:paraId="523C797C" w14:textId="77777777">
        <w:tblPrEx>
          <w:tblCellMar>
            <w:top w:w="0" w:type="dxa"/>
            <w:bottom w:w="0" w:type="dxa"/>
          </w:tblCellMar>
        </w:tblPrEx>
        <w:tc>
          <w:tcPr>
            <w:tcW w:w="2340" w:type="dxa"/>
            <w:tcBorders>
              <w:top w:val="single" w:sz="1" w:space="0" w:color="D1D1D6"/>
              <w:left w:val="single" w:sz="1" w:space="0" w:color="D1D1D6"/>
              <w:bottom w:val="single" w:sz="1" w:space="0" w:color="D1D1D6"/>
              <w:right w:val="single" w:sz="1" w:space="0" w:color="D1D1D6"/>
            </w:tcBorders>
            <w:shd w:val="clear" w:color="auto" w:fill="F9F9FB"/>
            <w:tcMar>
              <w:top w:w="60" w:type="dxa"/>
              <w:left w:w="120" w:type="dxa"/>
              <w:bottom w:w="60" w:type="dxa"/>
              <w:right w:w="120" w:type="dxa"/>
            </w:tcMar>
          </w:tcPr>
          <w:p w14:paraId="71B49BAB" w14:textId="77777777" w:rsidR="00A9409B" w:rsidRPr="006103FA" w:rsidRDefault="00A0254C">
            <w:r w:rsidRPr="006103FA">
              <w:rPr>
                <w:sz w:val="20"/>
                <w:szCs w:val="20"/>
              </w:rPr>
              <w:t>2000</w:t>
            </w:r>
          </w:p>
        </w:tc>
        <w:tc>
          <w:tcPr>
            <w:tcW w:w="2340" w:type="dxa"/>
            <w:tcBorders>
              <w:top w:val="single" w:sz="1" w:space="0" w:color="D1D1D6"/>
              <w:left w:val="single" w:sz="1" w:space="0" w:color="D1D1D6"/>
              <w:bottom w:val="single" w:sz="1" w:space="0" w:color="D1D1D6"/>
              <w:right w:val="single" w:sz="1" w:space="0" w:color="D1D1D6"/>
            </w:tcBorders>
            <w:shd w:val="clear" w:color="auto" w:fill="F9F9FB"/>
            <w:tcMar>
              <w:top w:w="60" w:type="dxa"/>
              <w:left w:w="120" w:type="dxa"/>
              <w:bottom w:w="60" w:type="dxa"/>
              <w:right w:w="120" w:type="dxa"/>
            </w:tcMar>
          </w:tcPr>
          <w:p w14:paraId="38C4E92E" w14:textId="77777777" w:rsidR="00A9409B" w:rsidRPr="006103FA" w:rsidRDefault="00A0254C">
            <w:pPr>
              <w:jc w:val="center"/>
            </w:pPr>
            <w:r w:rsidRPr="006103FA">
              <w:rPr>
                <w:sz w:val="20"/>
                <w:szCs w:val="20"/>
              </w:rPr>
              <w:t>$0.697</w:t>
            </w:r>
          </w:p>
        </w:tc>
        <w:tc>
          <w:tcPr>
            <w:tcW w:w="2340" w:type="dxa"/>
            <w:tcBorders>
              <w:top w:val="single" w:sz="1" w:space="0" w:color="D1D1D6"/>
              <w:left w:val="single" w:sz="1" w:space="0" w:color="D1D1D6"/>
              <w:bottom w:val="single" w:sz="1" w:space="0" w:color="D1D1D6"/>
              <w:right w:val="single" w:sz="1" w:space="0" w:color="D1D1D6"/>
            </w:tcBorders>
            <w:shd w:val="clear" w:color="auto" w:fill="F9F9FB"/>
            <w:tcMar>
              <w:top w:w="60" w:type="dxa"/>
              <w:left w:w="120" w:type="dxa"/>
              <w:bottom w:w="60" w:type="dxa"/>
              <w:right w:w="120" w:type="dxa"/>
            </w:tcMar>
          </w:tcPr>
          <w:p w14:paraId="75325F80" w14:textId="77777777" w:rsidR="00A9409B" w:rsidRDefault="00A0254C">
            <w:pPr>
              <w:jc w:val="center"/>
            </w:pPr>
            <w:r>
              <w:rPr>
                <w:color w:val="FF3B30"/>
                <w:sz w:val="20"/>
                <w:szCs w:val="20"/>
              </w:rPr>
              <w:t>−</w:t>
            </w:r>
            <w:r>
              <w:rPr>
                <w:color w:val="FF3B30"/>
                <w:sz w:val="20"/>
                <w:szCs w:val="20"/>
              </w:rPr>
              <w:t>55.8%</w:t>
            </w:r>
          </w:p>
        </w:tc>
        <w:tc>
          <w:tcPr>
            <w:tcW w:w="2340" w:type="dxa"/>
            <w:tcBorders>
              <w:top w:val="single" w:sz="1" w:space="0" w:color="D1D1D6"/>
              <w:left w:val="single" w:sz="1" w:space="0" w:color="D1D1D6"/>
              <w:bottom w:val="single" w:sz="1" w:space="0" w:color="D1D1D6"/>
              <w:right w:val="single" w:sz="1" w:space="0" w:color="D1D1D6"/>
            </w:tcBorders>
            <w:shd w:val="clear" w:color="auto" w:fill="F9F9FB"/>
            <w:tcMar>
              <w:top w:w="60" w:type="dxa"/>
              <w:left w:w="120" w:type="dxa"/>
              <w:bottom w:w="60" w:type="dxa"/>
              <w:right w:w="120" w:type="dxa"/>
            </w:tcMar>
          </w:tcPr>
          <w:p w14:paraId="2886B0E1" w14:textId="77777777" w:rsidR="00A9409B" w:rsidRPr="006103FA" w:rsidRDefault="00A0254C">
            <w:pPr>
              <w:jc w:val="center"/>
            </w:pPr>
            <w:r w:rsidRPr="006103FA">
              <w:rPr>
                <w:sz w:val="20"/>
                <w:szCs w:val="20"/>
              </w:rPr>
              <w:t>Dot-com crash peak → trough</w:t>
            </w:r>
          </w:p>
        </w:tc>
      </w:tr>
      <w:tr w:rsidR="00A9409B" w14:paraId="7842CB03" w14:textId="77777777">
        <w:tblPrEx>
          <w:tblCellMar>
            <w:top w:w="0" w:type="dxa"/>
            <w:bottom w:w="0" w:type="dxa"/>
          </w:tblCellMar>
        </w:tblPrEx>
        <w:tc>
          <w:tcPr>
            <w:tcW w:w="234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750D6A67" w14:textId="77777777" w:rsidR="00A9409B" w:rsidRPr="006103FA" w:rsidRDefault="00A0254C">
            <w:r w:rsidRPr="006103FA">
              <w:rPr>
                <w:sz w:val="20"/>
                <w:szCs w:val="20"/>
              </w:rPr>
              <w:t>2004</w:t>
            </w:r>
          </w:p>
        </w:tc>
        <w:tc>
          <w:tcPr>
            <w:tcW w:w="234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1EB7E1E3" w14:textId="77777777" w:rsidR="00A9409B" w:rsidRPr="006103FA" w:rsidRDefault="00A0254C">
            <w:pPr>
              <w:jc w:val="center"/>
            </w:pPr>
            <w:r w:rsidRPr="006103FA">
              <w:rPr>
                <w:sz w:val="20"/>
                <w:szCs w:val="20"/>
              </w:rPr>
              <w:t>$0.542</w:t>
            </w:r>
          </w:p>
        </w:tc>
        <w:tc>
          <w:tcPr>
            <w:tcW w:w="234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0F618DAC" w14:textId="77777777" w:rsidR="00A9409B" w:rsidRDefault="00A0254C">
            <w:pPr>
              <w:jc w:val="center"/>
            </w:pPr>
            <w:r>
              <w:rPr>
                <w:color w:val="34C759"/>
                <w:sz w:val="20"/>
                <w:szCs w:val="20"/>
              </w:rPr>
              <w:t>+162.8%</w:t>
            </w:r>
          </w:p>
        </w:tc>
        <w:tc>
          <w:tcPr>
            <w:tcW w:w="234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2C84A88C" w14:textId="77777777" w:rsidR="00A9409B" w:rsidRPr="006103FA" w:rsidRDefault="00A0254C">
            <w:pPr>
              <w:jc w:val="center"/>
            </w:pPr>
            <w:r w:rsidRPr="006103FA">
              <w:rPr>
                <w:sz w:val="20"/>
                <w:szCs w:val="20"/>
              </w:rPr>
              <w:t>Best year; iPod era breakout</w:t>
            </w:r>
          </w:p>
        </w:tc>
      </w:tr>
      <w:tr w:rsidR="00A9409B" w14:paraId="0A52AD35" w14:textId="77777777">
        <w:tblPrEx>
          <w:tblCellMar>
            <w:top w:w="0" w:type="dxa"/>
            <w:bottom w:w="0" w:type="dxa"/>
          </w:tblCellMar>
        </w:tblPrEx>
        <w:tc>
          <w:tcPr>
            <w:tcW w:w="2340" w:type="dxa"/>
            <w:tcBorders>
              <w:top w:val="single" w:sz="1" w:space="0" w:color="D1D1D6"/>
              <w:left w:val="single" w:sz="1" w:space="0" w:color="D1D1D6"/>
              <w:bottom w:val="single" w:sz="1" w:space="0" w:color="D1D1D6"/>
              <w:right w:val="single" w:sz="1" w:space="0" w:color="D1D1D6"/>
            </w:tcBorders>
            <w:shd w:val="clear" w:color="auto" w:fill="F9F9FB"/>
            <w:tcMar>
              <w:top w:w="60" w:type="dxa"/>
              <w:left w:w="120" w:type="dxa"/>
              <w:bottom w:w="60" w:type="dxa"/>
              <w:right w:w="120" w:type="dxa"/>
            </w:tcMar>
          </w:tcPr>
          <w:p w14:paraId="35732F39" w14:textId="77777777" w:rsidR="00A9409B" w:rsidRPr="006103FA" w:rsidRDefault="00A0254C">
            <w:r w:rsidRPr="006103FA">
              <w:rPr>
                <w:sz w:val="20"/>
                <w:szCs w:val="20"/>
              </w:rPr>
              <w:t>2010</w:t>
            </w:r>
          </w:p>
        </w:tc>
        <w:tc>
          <w:tcPr>
            <w:tcW w:w="2340" w:type="dxa"/>
            <w:tcBorders>
              <w:top w:val="single" w:sz="1" w:space="0" w:color="D1D1D6"/>
              <w:left w:val="single" w:sz="1" w:space="0" w:color="D1D1D6"/>
              <w:bottom w:val="single" w:sz="1" w:space="0" w:color="D1D1D6"/>
              <w:right w:val="single" w:sz="1" w:space="0" w:color="D1D1D6"/>
            </w:tcBorders>
            <w:shd w:val="clear" w:color="auto" w:fill="F9F9FB"/>
            <w:tcMar>
              <w:top w:w="60" w:type="dxa"/>
              <w:left w:w="120" w:type="dxa"/>
              <w:bottom w:w="60" w:type="dxa"/>
              <w:right w:w="120" w:type="dxa"/>
            </w:tcMar>
          </w:tcPr>
          <w:p w14:paraId="1EE75E5F" w14:textId="77777777" w:rsidR="00A9409B" w:rsidRPr="006103FA" w:rsidRDefault="00A0254C">
            <w:pPr>
              <w:jc w:val="center"/>
            </w:pPr>
            <w:r w:rsidRPr="006103FA">
              <w:rPr>
                <w:sz w:val="20"/>
                <w:szCs w:val="20"/>
              </w:rPr>
              <w:t>$7.92</w:t>
            </w:r>
          </w:p>
        </w:tc>
        <w:tc>
          <w:tcPr>
            <w:tcW w:w="2340" w:type="dxa"/>
            <w:tcBorders>
              <w:top w:val="single" w:sz="1" w:space="0" w:color="D1D1D6"/>
              <w:left w:val="single" w:sz="1" w:space="0" w:color="D1D1D6"/>
              <w:bottom w:val="single" w:sz="1" w:space="0" w:color="D1D1D6"/>
              <w:right w:val="single" w:sz="1" w:space="0" w:color="D1D1D6"/>
            </w:tcBorders>
            <w:shd w:val="clear" w:color="auto" w:fill="F9F9FB"/>
            <w:tcMar>
              <w:top w:w="60" w:type="dxa"/>
              <w:left w:w="120" w:type="dxa"/>
              <w:bottom w:w="60" w:type="dxa"/>
              <w:right w:w="120" w:type="dxa"/>
            </w:tcMar>
          </w:tcPr>
          <w:p w14:paraId="2D1C32FC" w14:textId="77777777" w:rsidR="00A9409B" w:rsidRDefault="00A0254C">
            <w:pPr>
              <w:jc w:val="center"/>
            </w:pPr>
            <w:r>
              <w:rPr>
                <w:color w:val="34C759"/>
                <w:sz w:val="20"/>
                <w:szCs w:val="20"/>
              </w:rPr>
              <w:t>+40.1%</w:t>
            </w:r>
          </w:p>
        </w:tc>
        <w:tc>
          <w:tcPr>
            <w:tcW w:w="2340" w:type="dxa"/>
            <w:tcBorders>
              <w:top w:val="single" w:sz="1" w:space="0" w:color="D1D1D6"/>
              <w:left w:val="single" w:sz="1" w:space="0" w:color="D1D1D6"/>
              <w:bottom w:val="single" w:sz="1" w:space="0" w:color="D1D1D6"/>
              <w:right w:val="single" w:sz="1" w:space="0" w:color="D1D1D6"/>
            </w:tcBorders>
            <w:shd w:val="clear" w:color="auto" w:fill="F9F9FB"/>
            <w:tcMar>
              <w:top w:w="60" w:type="dxa"/>
              <w:left w:w="120" w:type="dxa"/>
              <w:bottom w:w="60" w:type="dxa"/>
              <w:right w:w="120" w:type="dxa"/>
            </w:tcMar>
          </w:tcPr>
          <w:p w14:paraId="2DDCCA89" w14:textId="77777777" w:rsidR="00A9409B" w:rsidRPr="006103FA" w:rsidRDefault="00A0254C">
            <w:pPr>
              <w:jc w:val="center"/>
            </w:pPr>
            <w:r w:rsidRPr="006103FA">
              <w:rPr>
                <w:sz w:val="20"/>
                <w:szCs w:val="20"/>
              </w:rPr>
              <w:t>iPad launch year</w:t>
            </w:r>
          </w:p>
        </w:tc>
      </w:tr>
      <w:tr w:rsidR="00A9409B" w14:paraId="34397767" w14:textId="77777777">
        <w:tblPrEx>
          <w:tblCellMar>
            <w:top w:w="0" w:type="dxa"/>
            <w:bottom w:w="0" w:type="dxa"/>
          </w:tblCellMar>
        </w:tblPrEx>
        <w:tc>
          <w:tcPr>
            <w:tcW w:w="234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20CB9004" w14:textId="77777777" w:rsidR="00A9409B" w:rsidRPr="006103FA" w:rsidRDefault="00A0254C">
            <w:r w:rsidRPr="006103FA">
              <w:rPr>
                <w:sz w:val="20"/>
                <w:szCs w:val="20"/>
              </w:rPr>
              <w:t>2020</w:t>
            </w:r>
          </w:p>
        </w:tc>
        <w:tc>
          <w:tcPr>
            <w:tcW w:w="234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3C60A10D" w14:textId="77777777" w:rsidR="00A9409B" w:rsidRPr="006103FA" w:rsidRDefault="00A0254C">
            <w:pPr>
              <w:jc w:val="center"/>
            </w:pPr>
            <w:r w:rsidRPr="006103FA">
              <w:rPr>
                <w:sz w:val="20"/>
                <w:szCs w:val="20"/>
              </w:rPr>
              <w:t>$94.07</w:t>
            </w:r>
          </w:p>
        </w:tc>
        <w:tc>
          <w:tcPr>
            <w:tcW w:w="234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620F4105" w14:textId="77777777" w:rsidR="00A9409B" w:rsidRDefault="00A0254C">
            <w:pPr>
              <w:jc w:val="center"/>
            </w:pPr>
            <w:r>
              <w:rPr>
                <w:color w:val="34C759"/>
                <w:sz w:val="20"/>
                <w:szCs w:val="20"/>
              </w:rPr>
              <w:t>+48.9%</w:t>
            </w:r>
          </w:p>
        </w:tc>
        <w:tc>
          <w:tcPr>
            <w:tcW w:w="234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7E3E39B9" w14:textId="77777777" w:rsidR="00A9409B" w:rsidRPr="006103FA" w:rsidRDefault="00A0254C">
            <w:pPr>
              <w:jc w:val="center"/>
            </w:pPr>
            <w:r w:rsidRPr="006103FA">
              <w:rPr>
                <w:sz w:val="20"/>
                <w:szCs w:val="20"/>
              </w:rPr>
              <w:t>COVID-era tech surge</w:t>
            </w:r>
          </w:p>
        </w:tc>
      </w:tr>
      <w:tr w:rsidR="00A9409B" w14:paraId="0E8A7C5B" w14:textId="77777777">
        <w:tblPrEx>
          <w:tblCellMar>
            <w:top w:w="0" w:type="dxa"/>
            <w:bottom w:w="0" w:type="dxa"/>
          </w:tblCellMar>
        </w:tblPrEx>
        <w:tc>
          <w:tcPr>
            <w:tcW w:w="2340" w:type="dxa"/>
            <w:tcBorders>
              <w:top w:val="single" w:sz="1" w:space="0" w:color="D1D1D6"/>
              <w:left w:val="single" w:sz="1" w:space="0" w:color="D1D1D6"/>
              <w:bottom w:val="single" w:sz="1" w:space="0" w:color="D1D1D6"/>
              <w:right w:val="single" w:sz="1" w:space="0" w:color="D1D1D6"/>
            </w:tcBorders>
            <w:shd w:val="clear" w:color="auto" w:fill="F9F9FB"/>
            <w:tcMar>
              <w:top w:w="60" w:type="dxa"/>
              <w:left w:w="120" w:type="dxa"/>
              <w:bottom w:w="60" w:type="dxa"/>
              <w:right w:w="120" w:type="dxa"/>
            </w:tcMar>
          </w:tcPr>
          <w:p w14:paraId="1BA67460" w14:textId="77777777" w:rsidR="00A9409B" w:rsidRPr="006103FA" w:rsidRDefault="00A0254C">
            <w:r w:rsidRPr="006103FA">
              <w:rPr>
                <w:sz w:val="20"/>
                <w:szCs w:val="20"/>
              </w:rPr>
              <w:t>2022</w:t>
            </w:r>
          </w:p>
        </w:tc>
        <w:tc>
          <w:tcPr>
            <w:tcW w:w="2340" w:type="dxa"/>
            <w:tcBorders>
              <w:top w:val="single" w:sz="1" w:space="0" w:color="D1D1D6"/>
              <w:left w:val="single" w:sz="1" w:space="0" w:color="D1D1D6"/>
              <w:bottom w:val="single" w:sz="1" w:space="0" w:color="D1D1D6"/>
              <w:right w:val="single" w:sz="1" w:space="0" w:color="D1D1D6"/>
            </w:tcBorders>
            <w:shd w:val="clear" w:color="auto" w:fill="F9F9FB"/>
            <w:tcMar>
              <w:top w:w="60" w:type="dxa"/>
              <w:left w:w="120" w:type="dxa"/>
              <w:bottom w:w="60" w:type="dxa"/>
              <w:right w:w="120" w:type="dxa"/>
            </w:tcMar>
          </w:tcPr>
          <w:p w14:paraId="5BCB4510" w14:textId="77777777" w:rsidR="00A9409B" w:rsidRPr="006103FA" w:rsidRDefault="00A0254C">
            <w:pPr>
              <w:jc w:val="center"/>
            </w:pPr>
            <w:r w:rsidRPr="006103FA">
              <w:rPr>
                <w:sz w:val="20"/>
                <w:szCs w:val="20"/>
              </w:rPr>
              <w:t>$157.18</w:t>
            </w:r>
          </w:p>
        </w:tc>
        <w:tc>
          <w:tcPr>
            <w:tcW w:w="2340" w:type="dxa"/>
            <w:tcBorders>
              <w:top w:val="single" w:sz="1" w:space="0" w:color="D1D1D6"/>
              <w:left w:val="single" w:sz="1" w:space="0" w:color="D1D1D6"/>
              <w:bottom w:val="single" w:sz="1" w:space="0" w:color="D1D1D6"/>
              <w:right w:val="single" w:sz="1" w:space="0" w:color="D1D1D6"/>
            </w:tcBorders>
            <w:shd w:val="clear" w:color="auto" w:fill="F9F9FB"/>
            <w:tcMar>
              <w:top w:w="60" w:type="dxa"/>
              <w:left w:w="120" w:type="dxa"/>
              <w:bottom w:w="60" w:type="dxa"/>
              <w:right w:w="120" w:type="dxa"/>
            </w:tcMar>
          </w:tcPr>
          <w:p w14:paraId="20256DE0" w14:textId="77777777" w:rsidR="00A9409B" w:rsidRDefault="00A0254C">
            <w:pPr>
              <w:jc w:val="center"/>
            </w:pPr>
            <w:r>
              <w:rPr>
                <w:color w:val="34C759"/>
                <w:sz w:val="20"/>
                <w:szCs w:val="20"/>
              </w:rPr>
              <w:t>+12.2%</w:t>
            </w:r>
          </w:p>
        </w:tc>
        <w:tc>
          <w:tcPr>
            <w:tcW w:w="2340" w:type="dxa"/>
            <w:tcBorders>
              <w:top w:val="single" w:sz="1" w:space="0" w:color="D1D1D6"/>
              <w:left w:val="single" w:sz="1" w:space="0" w:color="D1D1D6"/>
              <w:bottom w:val="single" w:sz="1" w:space="0" w:color="D1D1D6"/>
              <w:right w:val="single" w:sz="1" w:space="0" w:color="D1D1D6"/>
            </w:tcBorders>
            <w:shd w:val="clear" w:color="auto" w:fill="F9F9FB"/>
            <w:tcMar>
              <w:top w:w="60" w:type="dxa"/>
              <w:left w:w="120" w:type="dxa"/>
              <w:bottom w:w="60" w:type="dxa"/>
              <w:right w:w="120" w:type="dxa"/>
            </w:tcMar>
          </w:tcPr>
          <w:p w14:paraId="56F4F5E7" w14:textId="77777777" w:rsidR="00A9409B" w:rsidRPr="006103FA" w:rsidRDefault="00A0254C">
            <w:pPr>
              <w:jc w:val="center"/>
            </w:pPr>
            <w:r w:rsidRPr="006103FA">
              <w:rPr>
                <w:sz w:val="20"/>
                <w:szCs w:val="20"/>
              </w:rPr>
              <w:t>Latest full year in dataset</w:t>
            </w:r>
          </w:p>
        </w:tc>
      </w:tr>
    </w:tbl>
    <w:p w14:paraId="71D175F0" w14:textId="77777777" w:rsidR="00A9409B" w:rsidRDefault="00A9409B">
      <w:pPr>
        <w:spacing w:after="160"/>
      </w:pPr>
    </w:p>
    <w:p w14:paraId="0BA671F3" w14:textId="77777777" w:rsidR="00A9409B" w:rsidRDefault="00A0254C">
      <w:pPr>
        <w:pStyle w:val="Heading2"/>
      </w:pPr>
      <w:bookmarkStart w:id="8" w:name="_Toc237883388"/>
      <w:r>
        <w:t>4.3 CAGR in Context</w:t>
      </w:r>
      <w:bookmarkEnd w:id="8"/>
    </w:p>
    <w:p w14:paraId="0B6E3133" w14:textId="77777777" w:rsidR="00A9409B" w:rsidRPr="006103FA" w:rsidRDefault="00A0254C">
      <w:pPr>
        <w:spacing w:before="60" w:after="120"/>
        <w:jc w:val="both"/>
      </w:pPr>
      <w:r w:rsidRPr="006103FA">
        <w:t>A CAGR of 19.2% over 42 years is exceptional. To benchmark this: the S&amp;P 500 delivered a CAGR of approximately 10.5% over the same period. An investor who purchased $1,000 of Apple stock at IPO and held through 2022 would have accumulated approximately $1.55 million — a return of over 155,000%.</w:t>
      </w:r>
    </w:p>
    <w:p w14:paraId="1D6234AA" w14:textId="77777777" w:rsidR="00A9409B" w:rsidRPr="006103FA" w:rsidRDefault="00A0254C">
      <w:pPr>
        <w:spacing w:before="60" w:after="120"/>
        <w:jc w:val="both"/>
      </w:pPr>
      <w:r w:rsidRPr="006103FA">
        <w:t>The average annual return of 27.9% is above the CAGR because returns are arithmetic rather than geometric — years of extreme gains (e.g. +162.8% in 2004) inflate the average more than compounding captures.</w:t>
      </w:r>
    </w:p>
    <w:p w14:paraId="5B8B2E01" w14:textId="77777777" w:rsidR="00A9409B" w:rsidRDefault="00A0254C">
      <w:pPr>
        <w:pStyle w:val="Heading1"/>
      </w:pPr>
      <w:bookmarkStart w:id="9" w:name="_Toc237883389"/>
      <w:r>
        <w:t>5. Trading Volume Analysis</w:t>
      </w:r>
      <w:bookmarkEnd w:id="9"/>
    </w:p>
    <w:p w14:paraId="532136FF" w14:textId="77777777" w:rsidR="00A9409B" w:rsidRPr="006103FA" w:rsidRDefault="00A0254C">
      <w:pPr>
        <w:spacing w:before="60" w:after="120"/>
        <w:jc w:val="both"/>
      </w:pPr>
      <w:r w:rsidRPr="006103FA">
        <w:t>Trading volume reflects investor participation and market liquidity. In the early years (1980–1999), Apple's average daily volume hovered between 50 million and 300 million shares. Volume surged dramatically after 2001, peaking during high-uncertainty periods such as the 2008 financial crisis, the 2012–2013 post-iPhone 5 correction, and the 2020 COVID-19 market dislocation.</w:t>
      </w:r>
    </w:p>
    <w:p w14:paraId="3C47BFA3" w14:textId="77777777" w:rsidR="00A9409B" w:rsidRPr="006103FA" w:rsidRDefault="00A0254C">
      <w:pPr>
        <w:spacing w:before="60" w:after="120"/>
        <w:jc w:val="both"/>
      </w:pPr>
      <w:r w:rsidRPr="006103FA">
        <w:t>High-volume years tend to coincide with either sharp price increases (confirming bullish conviction) or steep declines (panic selling), making volume a useful secondary signal for interpreting price action. The general upward drift in volume over the study period also reflects Apple's growing index weight and the rise of passive ETF investing — large index funds are obliged to buy and sell Apple in proportion to its market capitalisation, mechanically increasing traded volume as the price rose.</w:t>
      </w:r>
    </w:p>
    <w:p w14:paraId="278F9261" w14:textId="77777777" w:rsidR="00A9409B" w:rsidRDefault="00A0254C">
      <w:pPr>
        <w:pStyle w:val="Heading1"/>
      </w:pPr>
      <w:bookmarkStart w:id="10" w:name="_Toc237883390"/>
      <w:r>
        <w:t>6. Volatility Analysis</w:t>
      </w:r>
      <w:bookmarkEnd w:id="10"/>
    </w:p>
    <w:p w14:paraId="7DB4B26A" w14:textId="77777777" w:rsidR="00A9409B" w:rsidRPr="006103FA" w:rsidRDefault="00A0254C">
      <w:pPr>
        <w:spacing w:before="60" w:after="120"/>
        <w:jc w:val="both"/>
      </w:pPr>
      <w:r w:rsidRPr="006103FA">
        <w:lastRenderedPageBreak/>
        <w:t>Volatility, measured here as the average daily price range (High − Low) per year, provides a proxy for short-term risk. As expected, absolute dollar volatility has increased substantially over time simply because the stock price has risen — a $5 daily range on a $10 stock (50% range) is very different from a $5 daily range on a $150 stock (3.3% range).</w:t>
      </w:r>
    </w:p>
    <w:p w14:paraId="182D7DCD" w14:textId="77777777" w:rsidR="00A9409B" w:rsidRPr="006103FA" w:rsidRDefault="00A0254C">
      <w:pPr>
        <w:spacing w:before="60" w:after="120"/>
        <w:jc w:val="both"/>
      </w:pPr>
      <w:r w:rsidRPr="006103FA">
        <w:t>In percentage terms, Apple's volatility was highest in the early 1980s and during the 1997–2003 period of business uncertainty. Post-2010, while the dollar range widened considerably (often $3–$8 per day), the percentage volatility relative to price moderated, reflecting a larger, more institutionally held stock with steadier earnings.</w:t>
      </w:r>
    </w:p>
    <w:p w14:paraId="243FED87" w14:textId="77777777" w:rsidR="00A9409B" w:rsidRDefault="00A0254C">
      <w:pPr>
        <w:spacing w:before="60" w:after="120"/>
        <w:jc w:val="both"/>
      </w:pPr>
      <w:r>
        <w:rPr>
          <w:b/>
          <w:bCs/>
          <w:color w:val="1C1C1E"/>
        </w:rPr>
        <w:t xml:space="preserve">Key Insight: </w:t>
      </w:r>
      <w:r w:rsidRPr="006103FA">
        <w:t>The high early volatility was a risk that long-term investors were rewarded for bearing. Investors who held through multiple drawdowns — including a 55.8% decline in 2000 and a 28% decline in 2018 — were fully compensated by the subsequent recoveries and compounding effect</w:t>
      </w:r>
      <w:r>
        <w:rPr>
          <w:color w:val="6E6E73"/>
        </w:rPr>
        <w:t>.</w:t>
      </w:r>
    </w:p>
    <w:p w14:paraId="43881588" w14:textId="77777777" w:rsidR="00A9409B" w:rsidRDefault="00A0254C">
      <w:pPr>
        <w:pStyle w:val="Heading1"/>
      </w:pPr>
      <w:bookmarkStart w:id="11" w:name="_Toc237883391"/>
      <w:r>
        <w:t>7. Risk Assessment</w:t>
      </w:r>
      <w:bookmarkEnd w:id="11"/>
    </w:p>
    <w:p w14:paraId="0BD9FEDB" w14:textId="77777777" w:rsidR="00A9409B" w:rsidRPr="006103FA" w:rsidRDefault="00A0254C">
      <w:pPr>
        <w:spacing w:before="60" w:after="120"/>
        <w:jc w:val="both"/>
      </w:pPr>
      <w:r w:rsidRPr="006103FA">
        <w:t>From a risk perspective, Apple stock exhibited several characteristics worth noting across the analysis period:</w:t>
      </w:r>
    </w:p>
    <w:p w14:paraId="4512DF1D" w14:textId="77777777" w:rsidR="00A9409B" w:rsidRDefault="00A9409B">
      <w:pPr>
        <w:spacing w:after="40"/>
      </w:pPr>
    </w:p>
    <w:p w14:paraId="00064749" w14:textId="77777777" w:rsidR="00A9409B" w:rsidRDefault="00A0254C">
      <w:pPr>
        <w:pStyle w:val="ListParagraph"/>
        <w:numPr>
          <w:ilvl w:val="0"/>
          <w:numId w:val="2"/>
        </w:numPr>
        <w:spacing w:before="60" w:after="60"/>
      </w:pPr>
      <w:r>
        <w:rPr>
          <w:rFonts w:ascii="Arial" w:hAnsi="Arial"/>
          <w:b/>
          <w:bCs/>
          <w:color w:val="1C1C1E"/>
          <w:sz w:val="22"/>
        </w:rPr>
        <w:t xml:space="preserve">Concentration risk: </w:t>
      </w:r>
      <w:r w:rsidRPr="006103FA">
        <w:rPr>
          <w:rFonts w:ascii="Arial" w:hAnsi="Arial"/>
          <w:sz w:val="22"/>
        </w:rPr>
        <w:t>Apple's performance was heavily tied to the product vision of Steve Jobs. His death in 2011 created short-term uncertainty, though Tim Cook's operational leadership ultimately sustained growth.</w:t>
      </w:r>
    </w:p>
    <w:p w14:paraId="0BE976A4" w14:textId="77777777" w:rsidR="00A9409B" w:rsidRPr="006103FA" w:rsidRDefault="00A0254C">
      <w:pPr>
        <w:pStyle w:val="ListParagraph"/>
        <w:numPr>
          <w:ilvl w:val="0"/>
          <w:numId w:val="2"/>
        </w:numPr>
        <w:spacing w:before="60" w:after="60"/>
      </w:pPr>
      <w:r>
        <w:rPr>
          <w:rFonts w:ascii="Arial" w:hAnsi="Arial"/>
          <w:b/>
          <w:bCs/>
          <w:color w:val="1C1C1E"/>
          <w:sz w:val="22"/>
        </w:rPr>
        <w:t xml:space="preserve">Market beta: </w:t>
      </w:r>
      <w:r w:rsidRPr="006103FA">
        <w:rPr>
          <w:rFonts w:ascii="Arial" w:hAnsi="Arial"/>
          <w:sz w:val="22"/>
        </w:rPr>
        <w:t>Apple's stock generally amplifies broad market moves — falling more sharply than the index in downturns but recovering more strongly. This is reflected in years like 2000 (−55.8%) coinciding with the Nasdaq crash.</w:t>
      </w:r>
    </w:p>
    <w:p w14:paraId="1679311F" w14:textId="77777777" w:rsidR="00A9409B" w:rsidRPr="006103FA" w:rsidRDefault="00A0254C">
      <w:pPr>
        <w:pStyle w:val="ListParagraph"/>
        <w:numPr>
          <w:ilvl w:val="0"/>
          <w:numId w:val="2"/>
        </w:numPr>
        <w:spacing w:before="60" w:after="60"/>
      </w:pPr>
      <w:r>
        <w:rPr>
          <w:rFonts w:ascii="Arial" w:hAnsi="Arial"/>
          <w:b/>
          <w:bCs/>
          <w:color w:val="1C1C1E"/>
          <w:sz w:val="22"/>
        </w:rPr>
        <w:t xml:space="preserve">Regulatory and macro risk: </w:t>
      </w:r>
      <w:r w:rsidRPr="006103FA">
        <w:rPr>
          <w:rFonts w:ascii="Arial" w:hAnsi="Arial"/>
          <w:sz w:val="22"/>
        </w:rPr>
        <w:t>Antitrust scrutiny of the App Store, U.S.–China trade tensions (given Apple's manufacturing concentration in China), and interest rate sensitivity (as a high-P/E growth stock) represent ongoing risk factors not fully captured in historical data.</w:t>
      </w:r>
    </w:p>
    <w:p w14:paraId="425E3498" w14:textId="77777777" w:rsidR="00A9409B" w:rsidRDefault="00A0254C">
      <w:pPr>
        <w:pStyle w:val="ListParagraph"/>
        <w:numPr>
          <w:ilvl w:val="0"/>
          <w:numId w:val="2"/>
        </w:numPr>
        <w:spacing w:before="60" w:after="60"/>
      </w:pPr>
      <w:r>
        <w:rPr>
          <w:rFonts w:ascii="Arial" w:hAnsi="Arial"/>
          <w:b/>
          <w:bCs/>
          <w:color w:val="1C1C1E"/>
          <w:sz w:val="22"/>
        </w:rPr>
        <w:t xml:space="preserve">Reward-to-risk ratio: </w:t>
      </w:r>
      <w:r w:rsidRPr="006103FA">
        <w:rPr>
          <w:rFonts w:ascii="Arial" w:hAnsi="Arial"/>
          <w:sz w:val="22"/>
        </w:rPr>
        <w:t>Despite the risks, the historical Sharpe-like profile is strong — the average return of 27.9% p.a. significantly exceeds what any fixed-income or blended benchmark delivered over the same horizon.</w:t>
      </w:r>
    </w:p>
    <w:p w14:paraId="331473B2" w14:textId="77777777" w:rsidR="00A9409B" w:rsidRDefault="00A9409B">
      <w:pPr>
        <w:spacing w:after="120"/>
      </w:pPr>
    </w:p>
    <w:p w14:paraId="32A73813" w14:textId="77777777" w:rsidR="00A9409B" w:rsidRDefault="00A0254C">
      <w:pPr>
        <w:pStyle w:val="Heading1"/>
      </w:pPr>
      <w:bookmarkStart w:id="12" w:name="_Toc237883392"/>
      <w:r>
        <w:t>8. Key Insights &amp; Conclusion</w:t>
      </w:r>
      <w:bookmarkEnd w:id="12"/>
    </w:p>
    <w:p w14:paraId="541F0485" w14:textId="77777777" w:rsidR="00A9409B" w:rsidRDefault="00A9409B">
      <w:pPr>
        <w:pBdr>
          <w:bottom w:val="single" w:sz="4" w:space="1" w:color="D1D1D6"/>
        </w:pBdr>
        <w:spacing w:after="160"/>
      </w:pPr>
    </w:p>
    <w:p w14:paraId="44FD576E" w14:textId="77777777" w:rsidR="00A9409B" w:rsidRDefault="00A0254C">
      <w:pPr>
        <w:pStyle w:val="Heading2"/>
      </w:pPr>
      <w:bookmarkStart w:id="13" w:name="_Toc237883393"/>
      <w:r>
        <w:t>8.1 Summary of Findings</w:t>
      </w:r>
      <w:bookmarkEnd w:id="13"/>
    </w:p>
    <w:p w14:paraId="460FED21" w14:textId="77777777" w:rsidR="00A9409B" w:rsidRDefault="00A9409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9409B" w14:paraId="1BF8BDAC" w14:textId="77777777">
        <w:tblPrEx>
          <w:tblCellMar>
            <w:top w:w="0" w:type="dxa"/>
            <w:bottom w:w="0" w:type="dxa"/>
          </w:tblCellMar>
        </w:tblPrEx>
        <w:trPr>
          <w:tblHeader/>
        </w:trPr>
        <w:tc>
          <w:tcPr>
            <w:tcW w:w="4680" w:type="dxa"/>
            <w:tcBorders>
              <w:top w:val="single" w:sz="1" w:space="0" w:color="D1D1D6"/>
              <w:left w:val="single" w:sz="1" w:space="0" w:color="D1D1D6"/>
              <w:bottom w:val="single" w:sz="1" w:space="0" w:color="D1D1D6"/>
              <w:right w:val="single" w:sz="1" w:space="0" w:color="D1D1D6"/>
            </w:tcBorders>
            <w:shd w:val="clear" w:color="auto" w:fill="1C1C1E"/>
            <w:tcMar>
              <w:top w:w="80" w:type="dxa"/>
              <w:left w:w="120" w:type="dxa"/>
              <w:bottom w:w="80" w:type="dxa"/>
              <w:right w:w="120" w:type="dxa"/>
            </w:tcMar>
          </w:tcPr>
          <w:p w14:paraId="6C08E07B" w14:textId="77777777" w:rsidR="00A9409B" w:rsidRDefault="00A0254C">
            <w:pPr>
              <w:jc w:val="center"/>
            </w:pPr>
            <w:r>
              <w:rPr>
                <w:b/>
                <w:bCs/>
                <w:color w:val="FFFFFF"/>
                <w:sz w:val="20"/>
                <w:szCs w:val="20"/>
              </w:rPr>
              <w:t>Finding</w:t>
            </w:r>
          </w:p>
        </w:tc>
        <w:tc>
          <w:tcPr>
            <w:tcW w:w="4680" w:type="dxa"/>
            <w:tcBorders>
              <w:top w:val="single" w:sz="1" w:space="0" w:color="D1D1D6"/>
              <w:left w:val="single" w:sz="1" w:space="0" w:color="D1D1D6"/>
              <w:bottom w:val="single" w:sz="1" w:space="0" w:color="D1D1D6"/>
              <w:right w:val="single" w:sz="1" w:space="0" w:color="D1D1D6"/>
            </w:tcBorders>
            <w:shd w:val="clear" w:color="auto" w:fill="1C1C1E"/>
            <w:tcMar>
              <w:top w:w="80" w:type="dxa"/>
              <w:left w:w="120" w:type="dxa"/>
              <w:bottom w:w="80" w:type="dxa"/>
              <w:right w:w="120" w:type="dxa"/>
            </w:tcMar>
          </w:tcPr>
          <w:p w14:paraId="2B98B231" w14:textId="77777777" w:rsidR="00A9409B" w:rsidRDefault="00A0254C">
            <w:pPr>
              <w:jc w:val="center"/>
            </w:pPr>
            <w:r>
              <w:rPr>
                <w:b/>
                <w:bCs/>
                <w:color w:val="FFFFFF"/>
                <w:sz w:val="20"/>
                <w:szCs w:val="20"/>
              </w:rPr>
              <w:t>Detail</w:t>
            </w:r>
          </w:p>
        </w:tc>
      </w:tr>
      <w:tr w:rsidR="00A9409B" w14:paraId="5E9054B2" w14:textId="77777777">
        <w:tblPrEx>
          <w:tblCellMar>
            <w:top w:w="0" w:type="dxa"/>
            <w:bottom w:w="0" w:type="dxa"/>
          </w:tblCellMar>
        </w:tblPrEx>
        <w:tc>
          <w:tcPr>
            <w:tcW w:w="468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309127FB" w14:textId="77777777" w:rsidR="00A9409B" w:rsidRPr="006103FA" w:rsidRDefault="00A0254C">
            <w:r w:rsidRPr="006103FA">
              <w:rPr>
                <w:b/>
                <w:bCs/>
                <w:sz w:val="20"/>
                <w:szCs w:val="20"/>
              </w:rPr>
              <w:t>Extraordinary long-run returns</w:t>
            </w:r>
          </w:p>
        </w:tc>
        <w:tc>
          <w:tcPr>
            <w:tcW w:w="468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4BB7A060" w14:textId="77777777" w:rsidR="00A9409B" w:rsidRPr="006103FA" w:rsidRDefault="00A0254C">
            <w:pPr>
              <w:jc w:val="center"/>
            </w:pPr>
            <w:r w:rsidRPr="006103FA">
              <w:rPr>
                <w:sz w:val="20"/>
                <w:szCs w:val="20"/>
              </w:rPr>
              <w:t>155,168% total growth; 19.2% CAGR over 42 years</w:t>
            </w:r>
          </w:p>
        </w:tc>
      </w:tr>
      <w:tr w:rsidR="00A9409B" w14:paraId="155D7D7B" w14:textId="77777777">
        <w:tblPrEx>
          <w:tblCellMar>
            <w:top w:w="0" w:type="dxa"/>
            <w:bottom w:w="0" w:type="dxa"/>
          </w:tblCellMar>
        </w:tblPrEx>
        <w:tc>
          <w:tcPr>
            <w:tcW w:w="4680" w:type="dxa"/>
            <w:tcBorders>
              <w:top w:val="single" w:sz="1" w:space="0" w:color="D1D1D6"/>
              <w:left w:val="single" w:sz="1" w:space="0" w:color="D1D1D6"/>
              <w:bottom w:val="single" w:sz="1" w:space="0" w:color="D1D1D6"/>
              <w:right w:val="single" w:sz="1" w:space="0" w:color="D1D1D6"/>
            </w:tcBorders>
            <w:shd w:val="clear" w:color="auto" w:fill="F9F9FB"/>
            <w:tcMar>
              <w:top w:w="60" w:type="dxa"/>
              <w:left w:w="120" w:type="dxa"/>
              <w:bottom w:w="60" w:type="dxa"/>
              <w:right w:w="120" w:type="dxa"/>
            </w:tcMar>
          </w:tcPr>
          <w:p w14:paraId="620E17FD" w14:textId="77777777" w:rsidR="00A9409B" w:rsidRPr="006103FA" w:rsidRDefault="00A0254C">
            <w:r w:rsidRPr="006103FA">
              <w:rPr>
                <w:b/>
                <w:bCs/>
                <w:sz w:val="20"/>
                <w:szCs w:val="20"/>
              </w:rPr>
              <w:t>Product-cycle driven growth</w:t>
            </w:r>
          </w:p>
        </w:tc>
        <w:tc>
          <w:tcPr>
            <w:tcW w:w="4680" w:type="dxa"/>
            <w:tcBorders>
              <w:top w:val="single" w:sz="1" w:space="0" w:color="D1D1D6"/>
              <w:left w:val="single" w:sz="1" w:space="0" w:color="D1D1D6"/>
              <w:bottom w:val="single" w:sz="1" w:space="0" w:color="D1D1D6"/>
              <w:right w:val="single" w:sz="1" w:space="0" w:color="D1D1D6"/>
            </w:tcBorders>
            <w:shd w:val="clear" w:color="auto" w:fill="F9F9FB"/>
            <w:tcMar>
              <w:top w:w="60" w:type="dxa"/>
              <w:left w:w="120" w:type="dxa"/>
              <w:bottom w:w="60" w:type="dxa"/>
              <w:right w:w="120" w:type="dxa"/>
            </w:tcMar>
          </w:tcPr>
          <w:p w14:paraId="51BB3141" w14:textId="77777777" w:rsidR="00A9409B" w:rsidRPr="006103FA" w:rsidRDefault="00A0254C">
            <w:pPr>
              <w:jc w:val="center"/>
            </w:pPr>
            <w:r w:rsidRPr="006103FA">
              <w:rPr>
                <w:sz w:val="20"/>
                <w:szCs w:val="20"/>
              </w:rPr>
              <w:t>iPod (2004), iPhone (2007–2010), iPad (2010), Services (2016–) each visible in data</w:t>
            </w:r>
          </w:p>
        </w:tc>
      </w:tr>
      <w:tr w:rsidR="00A9409B" w14:paraId="40A77597" w14:textId="77777777">
        <w:tblPrEx>
          <w:tblCellMar>
            <w:top w:w="0" w:type="dxa"/>
            <w:bottom w:w="0" w:type="dxa"/>
          </w:tblCellMar>
        </w:tblPrEx>
        <w:tc>
          <w:tcPr>
            <w:tcW w:w="468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3EA39C9E" w14:textId="77777777" w:rsidR="00A9409B" w:rsidRPr="006103FA" w:rsidRDefault="00A0254C">
            <w:r w:rsidRPr="006103FA">
              <w:rPr>
                <w:b/>
                <w:bCs/>
                <w:sz w:val="20"/>
                <w:szCs w:val="20"/>
              </w:rPr>
              <w:lastRenderedPageBreak/>
              <w:t>Volatility rewarded patience</w:t>
            </w:r>
          </w:p>
        </w:tc>
        <w:tc>
          <w:tcPr>
            <w:tcW w:w="468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25BC376F" w14:textId="77777777" w:rsidR="00A9409B" w:rsidRPr="006103FA" w:rsidRDefault="00A0254C">
            <w:pPr>
              <w:jc w:val="center"/>
            </w:pPr>
            <w:r w:rsidRPr="006103FA">
              <w:rPr>
                <w:sz w:val="20"/>
                <w:szCs w:val="20"/>
              </w:rPr>
              <w:t>Multiple −20% to −55% drawdowns; all fully recovered</w:t>
            </w:r>
          </w:p>
        </w:tc>
      </w:tr>
      <w:tr w:rsidR="00A9409B" w14:paraId="58E6CB29" w14:textId="77777777">
        <w:tblPrEx>
          <w:tblCellMar>
            <w:top w:w="0" w:type="dxa"/>
            <w:bottom w:w="0" w:type="dxa"/>
          </w:tblCellMar>
        </w:tblPrEx>
        <w:tc>
          <w:tcPr>
            <w:tcW w:w="4680" w:type="dxa"/>
            <w:tcBorders>
              <w:top w:val="single" w:sz="1" w:space="0" w:color="D1D1D6"/>
              <w:left w:val="single" w:sz="1" w:space="0" w:color="D1D1D6"/>
              <w:bottom w:val="single" w:sz="1" w:space="0" w:color="D1D1D6"/>
              <w:right w:val="single" w:sz="1" w:space="0" w:color="D1D1D6"/>
            </w:tcBorders>
            <w:shd w:val="clear" w:color="auto" w:fill="F9F9FB"/>
            <w:tcMar>
              <w:top w:w="60" w:type="dxa"/>
              <w:left w:w="120" w:type="dxa"/>
              <w:bottom w:w="60" w:type="dxa"/>
              <w:right w:w="120" w:type="dxa"/>
            </w:tcMar>
          </w:tcPr>
          <w:p w14:paraId="7356FAA5" w14:textId="77777777" w:rsidR="00A9409B" w:rsidRPr="006103FA" w:rsidRDefault="00A0254C">
            <w:r w:rsidRPr="006103FA">
              <w:rPr>
                <w:b/>
                <w:bCs/>
                <w:sz w:val="20"/>
                <w:szCs w:val="20"/>
              </w:rPr>
              <w:t>Volume confirms trend</w:t>
            </w:r>
          </w:p>
        </w:tc>
        <w:tc>
          <w:tcPr>
            <w:tcW w:w="4680" w:type="dxa"/>
            <w:tcBorders>
              <w:top w:val="single" w:sz="1" w:space="0" w:color="D1D1D6"/>
              <w:left w:val="single" w:sz="1" w:space="0" w:color="D1D1D6"/>
              <w:bottom w:val="single" w:sz="1" w:space="0" w:color="D1D1D6"/>
              <w:right w:val="single" w:sz="1" w:space="0" w:color="D1D1D6"/>
            </w:tcBorders>
            <w:shd w:val="clear" w:color="auto" w:fill="F9F9FB"/>
            <w:tcMar>
              <w:top w:w="60" w:type="dxa"/>
              <w:left w:w="120" w:type="dxa"/>
              <w:bottom w:w="60" w:type="dxa"/>
              <w:right w:w="120" w:type="dxa"/>
            </w:tcMar>
          </w:tcPr>
          <w:p w14:paraId="6ADA6F25" w14:textId="77777777" w:rsidR="00A9409B" w:rsidRPr="006103FA" w:rsidRDefault="00A0254C">
            <w:pPr>
              <w:jc w:val="center"/>
            </w:pPr>
            <w:r w:rsidRPr="006103FA">
              <w:rPr>
                <w:sz w:val="20"/>
                <w:szCs w:val="20"/>
              </w:rPr>
              <w:t>Rising volume on up-moves in 2004, 2009, 2019–2020 signals institutional conviction</w:t>
            </w:r>
          </w:p>
        </w:tc>
      </w:tr>
      <w:tr w:rsidR="00A9409B" w14:paraId="436471FF" w14:textId="77777777">
        <w:tblPrEx>
          <w:tblCellMar>
            <w:top w:w="0" w:type="dxa"/>
            <w:bottom w:w="0" w:type="dxa"/>
          </w:tblCellMar>
        </w:tblPrEx>
        <w:tc>
          <w:tcPr>
            <w:tcW w:w="468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290CD351" w14:textId="77777777" w:rsidR="00A9409B" w:rsidRPr="006103FA" w:rsidRDefault="00A0254C">
            <w:r w:rsidRPr="006103FA">
              <w:rPr>
                <w:b/>
                <w:bCs/>
                <w:sz w:val="20"/>
                <w:szCs w:val="20"/>
              </w:rPr>
              <w:t>Accelerating momentum post-2010</w:t>
            </w:r>
          </w:p>
        </w:tc>
        <w:tc>
          <w:tcPr>
            <w:tcW w:w="4680" w:type="dxa"/>
            <w:tcBorders>
              <w:top w:val="single" w:sz="1" w:space="0" w:color="D1D1D6"/>
              <w:left w:val="single" w:sz="1" w:space="0" w:color="D1D1D6"/>
              <w:bottom w:val="single" w:sz="1" w:space="0" w:color="D1D1D6"/>
              <w:right w:val="single" w:sz="1" w:space="0" w:color="D1D1D6"/>
            </w:tcBorders>
            <w:shd w:val="clear" w:color="auto" w:fill="FFFFFF"/>
            <w:tcMar>
              <w:top w:w="60" w:type="dxa"/>
              <w:left w:w="120" w:type="dxa"/>
              <w:bottom w:w="60" w:type="dxa"/>
              <w:right w:w="120" w:type="dxa"/>
            </w:tcMar>
          </w:tcPr>
          <w:p w14:paraId="6C1381B8" w14:textId="77777777" w:rsidR="00A9409B" w:rsidRPr="006103FA" w:rsidRDefault="00A0254C">
            <w:pPr>
              <w:jc w:val="center"/>
            </w:pPr>
            <w:r w:rsidRPr="006103FA">
              <w:rPr>
                <w:sz w:val="20"/>
                <w:szCs w:val="20"/>
              </w:rPr>
              <w:t>10-year MA slope steepens significantly — compounding at work</w:t>
            </w:r>
          </w:p>
        </w:tc>
      </w:tr>
    </w:tbl>
    <w:p w14:paraId="7F760ABD" w14:textId="77777777" w:rsidR="00A9409B" w:rsidRDefault="00A9409B">
      <w:pPr>
        <w:spacing w:after="160"/>
      </w:pPr>
    </w:p>
    <w:p w14:paraId="6E870352" w14:textId="77777777" w:rsidR="00A9409B" w:rsidRDefault="00A0254C">
      <w:pPr>
        <w:pStyle w:val="Heading2"/>
      </w:pPr>
      <w:bookmarkStart w:id="14" w:name="_Toc237883394"/>
      <w:r>
        <w:t>8.2 Conclusion</w:t>
      </w:r>
      <w:bookmarkEnd w:id="14"/>
    </w:p>
    <w:p w14:paraId="4C975AFF" w14:textId="77777777" w:rsidR="00A9409B" w:rsidRPr="006103FA" w:rsidRDefault="00A0254C">
      <w:pPr>
        <w:spacing w:before="60" w:after="120"/>
        <w:jc w:val="both"/>
      </w:pPr>
      <w:r w:rsidRPr="006103FA">
        <w:t>Apple Inc.'s stock history is one of the most compelling case studies in long-term equity investing. The data unambiguously demonstrates that the company created enormous shareholder value over four decades, driven by continuous innovation, exceptional marketing, and a loyal consumer ecosystem. The CAGR of 19.2% is nearly double the long-run S&amp;P 500 average, achieved over a sufficiently long period to eliminate luck as the primary explanation.</w:t>
      </w:r>
    </w:p>
    <w:p w14:paraId="658ACC5D" w14:textId="77777777" w:rsidR="00A9409B" w:rsidRPr="006103FA" w:rsidRDefault="00A0254C">
      <w:pPr>
        <w:spacing w:before="60" w:after="120"/>
        <w:jc w:val="both"/>
      </w:pPr>
      <w:r w:rsidRPr="006103FA">
        <w:t>For investors, the key lesson embedded in this data is the compounding effect of patience. The 27 years from 1980 to 2007 produced a cumulative return of roughly 3,600% — impressive, but dwarfed by the 4,000% return delivered in just the following 15 years (2007–2022). The returns accelerated precisely because the base became larger and the business became more cash-generative. This is the hallmark of a compounding machine.</w:t>
      </w:r>
    </w:p>
    <w:p w14:paraId="18CF02ED" w14:textId="77777777" w:rsidR="00A9409B" w:rsidRPr="006103FA" w:rsidRDefault="00A0254C">
      <w:pPr>
        <w:spacing w:before="60" w:after="120"/>
        <w:jc w:val="both"/>
      </w:pPr>
      <w:r w:rsidRPr="006103FA">
        <w:t>Limitations of this analysis include: the use of average annual closing prices rather than year-end closes for return calculation; absence of dividend-adjusted returns (Apple began paying dividends in 2012); and the backward-looking nature of the dataset, which cannot account for future competitive disruptions.</w:t>
      </w:r>
    </w:p>
    <w:p w14:paraId="58AFEA3B" w14:textId="77777777" w:rsidR="00A9409B" w:rsidRPr="006103FA" w:rsidRDefault="00A9409B">
      <w:pPr>
        <w:spacing w:after="200"/>
      </w:pPr>
    </w:p>
    <w:sectPr w:rsidR="00A9409B" w:rsidRPr="006103F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70497" w14:textId="77777777" w:rsidR="00A0254C" w:rsidRDefault="00A0254C">
      <w:r>
        <w:separator/>
      </w:r>
    </w:p>
  </w:endnote>
  <w:endnote w:type="continuationSeparator" w:id="0">
    <w:p w14:paraId="0CCB8374" w14:textId="77777777" w:rsidR="00A0254C" w:rsidRDefault="00A02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F323E" w14:textId="4D37CC8A" w:rsidR="00A9409B" w:rsidRDefault="00A0254C">
    <w:pPr>
      <w:pBdr>
        <w:top w:val="single" w:sz="4" w:space="4" w:color="D1D1D6"/>
      </w:pBdr>
      <w:tabs>
        <w:tab w:val="right" w:pos="9026"/>
      </w:tabs>
      <w:spacing w:before="160"/>
    </w:pPr>
    <w:r>
      <w:rPr>
        <w:sz w:val="16"/>
        <w:szCs w:val="16"/>
      </w:rPr>
      <w:tab/>
    </w:r>
    <w:r>
      <w:rPr>
        <w:color w:val="6E6E73"/>
        <w:sz w:val="16"/>
        <w:szCs w:val="16"/>
      </w:rPr>
      <w:t>P</w:t>
    </w:r>
    <w:r>
      <w:rPr>
        <w:color w:val="6E6E73"/>
        <w:sz w:val="16"/>
        <w:szCs w:val="16"/>
      </w:rPr>
      <w:t>age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B1A6C" w14:textId="77777777" w:rsidR="00A0254C" w:rsidRDefault="00A0254C">
      <w:r>
        <w:separator/>
      </w:r>
    </w:p>
  </w:footnote>
  <w:footnote w:type="continuationSeparator" w:id="0">
    <w:p w14:paraId="5402D0AB" w14:textId="77777777" w:rsidR="00A0254C" w:rsidRDefault="00A025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461B8" w14:textId="77777777" w:rsidR="00A9409B" w:rsidRDefault="00A0254C">
    <w:pPr>
      <w:pBdr>
        <w:bottom w:val="single" w:sz="4" w:space="4" w:color="D1D1D6"/>
      </w:pBdr>
      <w:tabs>
        <w:tab w:val="right" w:pos="9026"/>
      </w:tabs>
      <w:spacing w:after="160"/>
    </w:pPr>
    <w:r>
      <w:rPr>
        <w:color w:val="6E6E73"/>
        <w:sz w:val="18"/>
        <w:szCs w:val="18"/>
      </w:rPr>
      <w:t>Apple Inc. — Stock Growth Analysis</w:t>
    </w:r>
    <w:r>
      <w:rPr>
        <w:color w:val="0071E3"/>
        <w:sz w:val="18"/>
        <w:szCs w:val="18"/>
      </w:rPr>
      <w:tab/>
      <w:t>NASDAQ: AAPL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0ACE"/>
    <w:multiLevelType w:val="hybridMultilevel"/>
    <w:tmpl w:val="4E4A069C"/>
    <w:lvl w:ilvl="0" w:tplc="EF346510">
      <w:start w:val="1"/>
      <w:numFmt w:val="decimal"/>
      <w:lvlText w:val="%1."/>
      <w:lvlJc w:val="left"/>
      <w:pPr>
        <w:ind w:left="720" w:hanging="360"/>
      </w:pPr>
    </w:lvl>
    <w:lvl w:ilvl="1" w:tplc="840EA942">
      <w:numFmt w:val="decimal"/>
      <w:lvlText w:val=""/>
      <w:lvlJc w:val="left"/>
    </w:lvl>
    <w:lvl w:ilvl="2" w:tplc="B7FA8DE0">
      <w:numFmt w:val="decimal"/>
      <w:lvlText w:val=""/>
      <w:lvlJc w:val="left"/>
    </w:lvl>
    <w:lvl w:ilvl="3" w:tplc="5858BFAC">
      <w:numFmt w:val="decimal"/>
      <w:lvlText w:val=""/>
      <w:lvlJc w:val="left"/>
    </w:lvl>
    <w:lvl w:ilvl="4" w:tplc="B7A4AFE2">
      <w:numFmt w:val="decimal"/>
      <w:lvlText w:val=""/>
      <w:lvlJc w:val="left"/>
    </w:lvl>
    <w:lvl w:ilvl="5" w:tplc="07B63D9E">
      <w:numFmt w:val="decimal"/>
      <w:lvlText w:val=""/>
      <w:lvlJc w:val="left"/>
    </w:lvl>
    <w:lvl w:ilvl="6" w:tplc="3FD2B60E">
      <w:numFmt w:val="decimal"/>
      <w:lvlText w:val=""/>
      <w:lvlJc w:val="left"/>
    </w:lvl>
    <w:lvl w:ilvl="7" w:tplc="B7F611A2">
      <w:numFmt w:val="decimal"/>
      <w:lvlText w:val=""/>
      <w:lvlJc w:val="left"/>
    </w:lvl>
    <w:lvl w:ilvl="8" w:tplc="B64E6262">
      <w:numFmt w:val="decimal"/>
      <w:lvlText w:val=""/>
      <w:lvlJc w:val="left"/>
    </w:lvl>
  </w:abstractNum>
  <w:abstractNum w:abstractNumId="1" w15:restartNumberingAfterBreak="0">
    <w:nsid w:val="687B02EE"/>
    <w:multiLevelType w:val="hybridMultilevel"/>
    <w:tmpl w:val="29E24CB8"/>
    <w:lvl w:ilvl="0" w:tplc="98A20396">
      <w:start w:val="1"/>
      <w:numFmt w:val="bullet"/>
      <w:lvlText w:val="•"/>
      <w:lvlJc w:val="left"/>
      <w:pPr>
        <w:ind w:left="720" w:hanging="360"/>
      </w:pPr>
    </w:lvl>
    <w:lvl w:ilvl="1" w:tplc="03BC958E">
      <w:numFmt w:val="decimal"/>
      <w:lvlText w:val=""/>
      <w:lvlJc w:val="left"/>
    </w:lvl>
    <w:lvl w:ilvl="2" w:tplc="F6548A0C">
      <w:numFmt w:val="decimal"/>
      <w:lvlText w:val=""/>
      <w:lvlJc w:val="left"/>
    </w:lvl>
    <w:lvl w:ilvl="3" w:tplc="89CA8788">
      <w:numFmt w:val="decimal"/>
      <w:lvlText w:val=""/>
      <w:lvlJc w:val="left"/>
    </w:lvl>
    <w:lvl w:ilvl="4" w:tplc="0A7C7C4A">
      <w:numFmt w:val="decimal"/>
      <w:lvlText w:val=""/>
      <w:lvlJc w:val="left"/>
    </w:lvl>
    <w:lvl w:ilvl="5" w:tplc="B8EA86BE">
      <w:numFmt w:val="decimal"/>
      <w:lvlText w:val=""/>
      <w:lvlJc w:val="left"/>
    </w:lvl>
    <w:lvl w:ilvl="6" w:tplc="99587262">
      <w:numFmt w:val="decimal"/>
      <w:lvlText w:val=""/>
      <w:lvlJc w:val="left"/>
    </w:lvl>
    <w:lvl w:ilvl="7" w:tplc="85EE9A78">
      <w:numFmt w:val="decimal"/>
      <w:lvlText w:val=""/>
      <w:lvlJc w:val="left"/>
    </w:lvl>
    <w:lvl w:ilvl="8" w:tplc="5336C1B8">
      <w:numFmt w:val="decimal"/>
      <w:lvlText w:val=""/>
      <w:lvlJc w:val="left"/>
    </w:lvl>
  </w:abstractNum>
  <w:abstractNum w:abstractNumId="2" w15:restartNumberingAfterBreak="0">
    <w:nsid w:val="7E321396"/>
    <w:multiLevelType w:val="hybridMultilevel"/>
    <w:tmpl w:val="0D780FEE"/>
    <w:lvl w:ilvl="0" w:tplc="98DEF2CE">
      <w:start w:val="1"/>
      <w:numFmt w:val="bullet"/>
      <w:lvlText w:val="●"/>
      <w:lvlJc w:val="left"/>
      <w:pPr>
        <w:ind w:left="720" w:hanging="360"/>
      </w:pPr>
    </w:lvl>
    <w:lvl w:ilvl="1" w:tplc="8E3276BA">
      <w:start w:val="1"/>
      <w:numFmt w:val="bullet"/>
      <w:lvlText w:val="○"/>
      <w:lvlJc w:val="left"/>
      <w:pPr>
        <w:ind w:left="1440" w:hanging="360"/>
      </w:pPr>
    </w:lvl>
    <w:lvl w:ilvl="2" w:tplc="30081B6A">
      <w:start w:val="1"/>
      <w:numFmt w:val="bullet"/>
      <w:lvlText w:val="■"/>
      <w:lvlJc w:val="left"/>
      <w:pPr>
        <w:ind w:left="2160" w:hanging="360"/>
      </w:pPr>
    </w:lvl>
    <w:lvl w:ilvl="3" w:tplc="30CED21C">
      <w:start w:val="1"/>
      <w:numFmt w:val="bullet"/>
      <w:lvlText w:val="●"/>
      <w:lvlJc w:val="left"/>
      <w:pPr>
        <w:ind w:left="2880" w:hanging="360"/>
      </w:pPr>
    </w:lvl>
    <w:lvl w:ilvl="4" w:tplc="30FA73AC">
      <w:start w:val="1"/>
      <w:numFmt w:val="bullet"/>
      <w:lvlText w:val="○"/>
      <w:lvlJc w:val="left"/>
      <w:pPr>
        <w:ind w:left="3600" w:hanging="360"/>
      </w:pPr>
    </w:lvl>
    <w:lvl w:ilvl="5" w:tplc="045C8326">
      <w:start w:val="1"/>
      <w:numFmt w:val="bullet"/>
      <w:lvlText w:val="■"/>
      <w:lvlJc w:val="left"/>
      <w:pPr>
        <w:ind w:left="4320" w:hanging="360"/>
      </w:pPr>
    </w:lvl>
    <w:lvl w:ilvl="6" w:tplc="D7D45900">
      <w:start w:val="1"/>
      <w:numFmt w:val="bullet"/>
      <w:lvlText w:val="●"/>
      <w:lvlJc w:val="left"/>
      <w:pPr>
        <w:ind w:left="5040" w:hanging="360"/>
      </w:pPr>
    </w:lvl>
    <w:lvl w:ilvl="7" w:tplc="C80ADA22">
      <w:start w:val="1"/>
      <w:numFmt w:val="bullet"/>
      <w:lvlText w:val="●"/>
      <w:lvlJc w:val="left"/>
      <w:pPr>
        <w:ind w:left="5760" w:hanging="360"/>
      </w:pPr>
    </w:lvl>
    <w:lvl w:ilvl="8" w:tplc="F76EBCB0">
      <w:start w:val="1"/>
      <w:numFmt w:val="bullet"/>
      <w:lvlText w:val="●"/>
      <w:lvlJc w:val="left"/>
      <w:pPr>
        <w:ind w:left="6480" w:hanging="360"/>
      </w:pPr>
    </w:lvl>
  </w:abstractNum>
  <w:num w:numId="1" w16cid:durableId="1497576182">
    <w:abstractNumId w:val="2"/>
    <w:lvlOverride w:ilvl="0">
      <w:startOverride w:val="1"/>
    </w:lvlOverride>
  </w:num>
  <w:num w:numId="2" w16cid:durableId="6613906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09B"/>
    <w:rsid w:val="004847AE"/>
    <w:rsid w:val="006103FA"/>
    <w:rsid w:val="00A0254C"/>
    <w:rsid w:val="00A9409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9BA6C"/>
  <w15:docId w15:val="{A8B892DA-2377-409F-AD37-53BFE5C69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C1C1E"/>
      <w:sz w:val="36"/>
      <w:szCs w:val="36"/>
    </w:rPr>
  </w:style>
  <w:style w:type="paragraph" w:styleId="Heading2">
    <w:name w:val="heading 2"/>
    <w:uiPriority w:val="9"/>
    <w:unhideWhenUsed/>
    <w:qFormat/>
    <w:pPr>
      <w:spacing w:before="280" w:after="120"/>
      <w:outlineLvl w:val="1"/>
    </w:pPr>
    <w:rPr>
      <w:b/>
      <w:bCs/>
      <w:color w:val="1C1C1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6103FA"/>
    <w:rPr>
      <w:rFonts w:ascii="Times New Roman" w:hAnsi="Times New Roman"/>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103FA"/>
    <w:pPr>
      <w:tabs>
        <w:tab w:val="center" w:pos="4513"/>
        <w:tab w:val="right" w:pos="9026"/>
      </w:tabs>
    </w:pPr>
  </w:style>
  <w:style w:type="character" w:customStyle="1" w:styleId="HeaderChar">
    <w:name w:val="Header Char"/>
    <w:basedOn w:val="DefaultParagraphFont"/>
    <w:link w:val="Header"/>
    <w:uiPriority w:val="99"/>
    <w:rsid w:val="006103FA"/>
  </w:style>
  <w:style w:type="paragraph" w:styleId="Footer">
    <w:name w:val="footer"/>
    <w:basedOn w:val="Normal"/>
    <w:link w:val="FooterChar"/>
    <w:uiPriority w:val="99"/>
    <w:unhideWhenUsed/>
    <w:rsid w:val="006103FA"/>
    <w:pPr>
      <w:tabs>
        <w:tab w:val="center" w:pos="4513"/>
        <w:tab w:val="right" w:pos="9026"/>
      </w:tabs>
    </w:pPr>
  </w:style>
  <w:style w:type="character" w:customStyle="1" w:styleId="FooterChar">
    <w:name w:val="Footer Char"/>
    <w:basedOn w:val="DefaultParagraphFont"/>
    <w:link w:val="Footer"/>
    <w:uiPriority w:val="99"/>
    <w:rsid w:val="006103FA"/>
  </w:style>
  <w:style w:type="paragraph" w:styleId="TOCHeading">
    <w:name w:val="TOC Heading"/>
    <w:basedOn w:val="Heading1"/>
    <w:next w:val="Normal"/>
    <w:uiPriority w:val="39"/>
    <w:unhideWhenUsed/>
    <w:qFormat/>
    <w:rsid w:val="006103FA"/>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6103FA"/>
    <w:pPr>
      <w:spacing w:after="100"/>
    </w:pPr>
  </w:style>
  <w:style w:type="paragraph" w:styleId="TOC2">
    <w:name w:val="toc 2"/>
    <w:basedOn w:val="Normal"/>
    <w:next w:val="Normal"/>
    <w:autoRedefine/>
    <w:uiPriority w:val="39"/>
    <w:unhideWhenUsed/>
    <w:rsid w:val="006103F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6A630-22DB-461B-B3DB-3494CC487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1634</Words>
  <Characters>9316</Characters>
  <Application>Microsoft Office Word</Application>
  <DocSecurity>0</DocSecurity>
  <Lines>77</Lines>
  <Paragraphs>21</Paragraphs>
  <ScaleCrop>false</ScaleCrop>
  <Company/>
  <LinksUpToDate>false</LinksUpToDate>
  <CharactersWithSpaces>10929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Abolarin</cp:lastModifiedBy>
  <cp:revision>2</cp:revision>
  <dcterms:created xsi:type="dcterms:W3CDTF">2026-08-17T17:24:00Z</dcterms:created>
  <dcterms:modified xsi:type="dcterms:W3CDTF">2026-08-17T17:24:00Z</dcterms:modified>
</cp:coreProperties>
</file>