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60"/>
        <w:jc w:val="center"/>
        <w:rPr/>
      </w:pPr>
      <w:r>
        <w:rPr>
          <w:b/>
          <w:bCs/>
          <w:sz w:val="20"/>
          <w:szCs w:val="20"/>
        </w:rPr>
        <w:t>Kochi International Airport — Ground Handling SLA</w:t>
      </w:r>
    </w:p>
    <w:p>
      <w:pPr>
        <w:pStyle w:val="Normal"/>
        <w:spacing w:before="0" w:after="300"/>
        <w:jc w:val="center"/>
        <w:rPr/>
      </w:pPr>
      <w:r>
        <w:rPr>
          <w:b/>
          <w:bCs/>
          <w:color w:val="B00020"/>
          <w:sz w:val="20"/>
          <w:szCs w:val="20"/>
        </w:rPr>
        <w:t>CONFIDENTIAL</w:t>
      </w:r>
    </w:p>
    <w:p>
      <w:pPr>
        <w:pStyle w:val="Heading1"/>
        <w:rPr/>
      </w:pPr>
      <w:r>
        <w:rPr/>
        <w:t>GROUND HANDLING SERVICE LEVEL AGREEMENT</w:t>
      </w:r>
    </w:p>
    <w:p>
      <w:pPr>
        <w:pStyle w:val="Heading2"/>
        <w:rPr/>
      </w:pPr>
      <w:r>
        <w:rPr/>
        <w:t>Kochi International Airport (COK)</w:t>
      </w:r>
    </w:p>
    <w:p>
      <w:pPr>
        <w:pStyle w:val="Normal"/>
        <w:spacing w:before="0" w:after="160"/>
        <w:rPr/>
      </w:pPr>
      <w:r>
        <w:rPr/>
        <w:t>This Service Level Agreement (“Agreement”) is entered into between Cochin International Airport Authority (“Airport”) and the ground handling service providers named herein (each a “Vendor”), effective from 01 July 2026 to 30 June 2027 (“Term”).</w:t>
      </w:r>
    </w:p>
    <w:p>
      <w:pPr>
        <w:pStyle w:val="Heading1"/>
        <w:rPr/>
      </w:pPr>
      <w:r>
        <w:rPr/>
        <w:t>1. Parties to the Agreement</w:t>
      </w:r>
    </w:p>
    <w:p>
      <w:pPr>
        <w:pStyle w:val="Heading2"/>
        <w:rPr/>
      </w:pPr>
      <w:r>
        <w:rPr/>
        <w:t>1.1 Airport</w:t>
      </w:r>
    </w:p>
    <w:p>
      <w:pPr>
        <w:pStyle w:val="Normal"/>
        <w:spacing w:before="0" w:after="160"/>
        <w:rPr/>
      </w:pPr>
      <w:r>
        <w:rPr/>
        <w:t>Cochin International Airport Authority, Nedumbassery, Kochi, Kerala, India.</w:t>
      </w:r>
    </w:p>
    <w:p>
      <w:pPr>
        <w:pStyle w:val="Heading2"/>
        <w:rPr/>
      </w:pPr>
      <w:r>
        <w:rPr/>
        <w:t>1.2 Vendors</w:t>
      </w:r>
    </w:p>
    <w:p>
      <w:pPr>
        <w:pStyle w:val="ListParagraph"/>
        <w:numPr>
          <w:ilvl w:val="0"/>
          <w:numId w:val="3"/>
        </w:numPr>
        <w:spacing w:before="0" w:after="80"/>
        <w:rPr/>
      </w:pPr>
      <w:r>
        <w:rPr/>
        <w:t>Vega Ramp Solutions Ltd — Baggage Handling Services</w:t>
      </w:r>
    </w:p>
    <w:p>
      <w:pPr>
        <w:pStyle w:val="ListParagraph"/>
        <w:numPr>
          <w:ilvl w:val="0"/>
          <w:numId w:val="1"/>
        </w:numPr>
        <w:spacing w:before="0" w:after="80"/>
        <w:rPr/>
      </w:pPr>
      <w:r>
        <w:rPr/>
        <w:t>Crystal Air Hygiene Services — Aircraft Cabin Cleaning Services</w:t>
      </w:r>
    </w:p>
    <w:p>
      <w:pPr>
        <w:pStyle w:val="ListParagraph"/>
        <w:numPr>
          <w:ilvl w:val="0"/>
          <w:numId w:val="1"/>
        </w:numPr>
        <w:spacing w:before="0" w:after="80"/>
        <w:rPr/>
      </w:pPr>
      <w:r>
        <w:rPr/>
        <w:t>Petrosafe Aviation Fuels — Aircraft Fueling Services</w:t>
      </w:r>
    </w:p>
    <w:p>
      <w:pPr>
        <w:pStyle w:val="Heading1"/>
        <w:rPr/>
      </w:pPr>
      <w:r>
        <w:rPr/>
        <w:t>2. Scope of Services</w:t>
      </w:r>
    </w:p>
    <w:p>
      <w:pPr>
        <w:pStyle w:val="Normal"/>
        <w:spacing w:before="0" w:after="160"/>
        <w:rPr/>
      </w:pPr>
      <w:r>
        <w:rPr/>
        <w:t>Each Vendor shall provide the ground handling service(s) designated to it under Section 1.2 for all scheduled and chartered flights operating at the Airport during the Term, in accordance with the performance standards set out in Sections 3 through 5 below.</w:t>
      </w:r>
    </w:p>
    <w:p>
      <w:pPr>
        <w:pStyle w:val="Heading1"/>
        <w:rPr/>
      </w:pPr>
      <w:r>
        <w:rPr/>
        <w:t>3. Service Level Standards — Vega Ramp Solutions Ltd</w:t>
      </w:r>
    </w:p>
    <w:p>
      <w:pPr>
        <w:pStyle w:val="Normal"/>
        <w:spacing w:before="0" w:after="160"/>
        <w:rPr/>
      </w:pPr>
      <w:r>
        <w:rPr/>
        <w:t>Vega Ramp Solutions Ltd shall be bound by the following baggage handling performance standard, measured between the specified start and stop events for each flight:</w:t>
      </w:r>
    </w:p>
    <w:tbl>
      <w:tblPr>
        <w:tblW w:w="9360" w:type="dxa"/>
        <w:jc w:val="left"/>
        <w:tblInd w:w="0" w:type="dxa"/>
        <w:tblLayout w:type="fixed"/>
        <w:tblCellMar>
          <w:top w:w="80" w:type="dxa"/>
          <w:left w:w="120" w:type="dxa"/>
          <w:bottom w:w="80" w:type="dxa"/>
          <w:right w:w="120" w:type="dxa"/>
        </w:tblCellMar>
      </w:tblPr>
      <w:tblGrid>
        <w:gridCol w:w="1900"/>
        <w:gridCol w:w="1900"/>
        <w:gridCol w:w="1900"/>
        <w:gridCol w:w="1999"/>
        <w:gridCol w:w="1661"/>
      </w:tblGrid>
      <w:tr>
        <w:trPr/>
        <w:tc>
          <w:tcPr>
            <w:tcW w:w="1900" w:type="dxa"/>
            <w:tcBorders>
              <w:top w:val="single" w:sz="2" w:space="0" w:color="CCCCCC"/>
              <w:left w:val="single" w:sz="2" w:space="0" w:color="CCCCCC"/>
              <w:bottom w:val="single" w:sz="2" w:space="0" w:color="CCCCCC"/>
              <w:right w:val="single" w:sz="2" w:space="0" w:color="CCCCCC"/>
            </w:tcBorders>
            <w:shd w:fill="1F3B57" w:val="clear"/>
          </w:tcPr>
          <w:p>
            <w:pPr>
              <w:pStyle w:val="Normal"/>
              <w:widowControl w:val="false"/>
              <w:rPr/>
            </w:pPr>
            <w:r>
              <w:rPr>
                <w:b/>
                <w:bCs/>
                <w:color w:val="FFFFFF"/>
                <w:sz w:val="20"/>
                <w:szCs w:val="20"/>
              </w:rPr>
              <w:t>Metric</w:t>
            </w:r>
          </w:p>
        </w:tc>
        <w:tc>
          <w:tcPr>
            <w:tcW w:w="1900" w:type="dxa"/>
            <w:tcBorders>
              <w:top w:val="single" w:sz="2" w:space="0" w:color="CCCCCC"/>
              <w:left w:val="single" w:sz="2" w:space="0" w:color="CCCCCC"/>
              <w:bottom w:val="single" w:sz="2" w:space="0" w:color="CCCCCC"/>
              <w:right w:val="single" w:sz="2" w:space="0" w:color="CCCCCC"/>
            </w:tcBorders>
            <w:shd w:fill="1F3B57" w:val="clear"/>
          </w:tcPr>
          <w:p>
            <w:pPr>
              <w:pStyle w:val="Normal"/>
              <w:widowControl w:val="false"/>
              <w:rPr/>
            </w:pPr>
            <w:r>
              <w:rPr>
                <w:b/>
                <w:bCs/>
                <w:color w:val="FFFFFF"/>
                <w:sz w:val="20"/>
                <w:szCs w:val="20"/>
              </w:rPr>
              <w:t>Start Event</w:t>
            </w:r>
          </w:p>
        </w:tc>
        <w:tc>
          <w:tcPr>
            <w:tcW w:w="1900" w:type="dxa"/>
            <w:tcBorders>
              <w:top w:val="single" w:sz="2" w:space="0" w:color="CCCCCC"/>
              <w:left w:val="single" w:sz="2" w:space="0" w:color="CCCCCC"/>
              <w:bottom w:val="single" w:sz="2" w:space="0" w:color="CCCCCC"/>
              <w:right w:val="single" w:sz="2" w:space="0" w:color="CCCCCC"/>
            </w:tcBorders>
            <w:shd w:fill="1F3B57" w:val="clear"/>
          </w:tcPr>
          <w:p>
            <w:pPr>
              <w:pStyle w:val="Normal"/>
              <w:widowControl w:val="false"/>
              <w:rPr/>
            </w:pPr>
            <w:r>
              <w:rPr>
                <w:b/>
                <w:bCs/>
                <w:color w:val="FFFFFF"/>
                <w:sz w:val="20"/>
                <w:szCs w:val="20"/>
              </w:rPr>
              <w:t>Stop Event</w:t>
            </w:r>
          </w:p>
        </w:tc>
        <w:tc>
          <w:tcPr>
            <w:tcW w:w="1999" w:type="dxa"/>
            <w:tcBorders>
              <w:top w:val="single" w:sz="2" w:space="0" w:color="CCCCCC"/>
              <w:left w:val="single" w:sz="2" w:space="0" w:color="CCCCCC"/>
              <w:bottom w:val="single" w:sz="2" w:space="0" w:color="CCCCCC"/>
              <w:right w:val="single" w:sz="2" w:space="0" w:color="CCCCCC"/>
            </w:tcBorders>
            <w:shd w:fill="1F3B57" w:val="clear"/>
          </w:tcPr>
          <w:p>
            <w:pPr>
              <w:pStyle w:val="Normal"/>
              <w:widowControl w:val="false"/>
              <w:rPr/>
            </w:pPr>
            <w:r>
              <w:rPr>
                <w:b/>
                <w:bCs/>
                <w:color w:val="FFFFFF"/>
                <w:sz w:val="20"/>
                <w:szCs w:val="20"/>
              </w:rPr>
              <w:t>Penalty for Breach</w:t>
            </w:r>
          </w:p>
        </w:tc>
        <w:tc>
          <w:tcPr>
            <w:tcW w:w="1661" w:type="dxa"/>
            <w:tcBorders>
              <w:top w:val="single" w:sz="2" w:space="0" w:color="CCCCCC"/>
              <w:left w:val="single" w:sz="2" w:space="0" w:color="CCCCCC"/>
              <w:bottom w:val="single" w:sz="2" w:space="0" w:color="CCCCCC"/>
              <w:right w:val="single" w:sz="2" w:space="0" w:color="CCCCCC"/>
            </w:tcBorders>
            <w:shd w:fill="1F3B57" w:val="clear"/>
          </w:tcPr>
          <w:p>
            <w:pPr>
              <w:pStyle w:val="Normal"/>
              <w:widowControl w:val="false"/>
              <w:rPr/>
            </w:pPr>
            <w:r>
              <w:rPr>
                <w:b/>
                <w:bCs/>
                <w:color w:val="FFFFFF"/>
                <w:sz w:val="20"/>
                <w:szCs w:val="20"/>
              </w:rPr>
              <w:t>Max Duration Benchmark</w:t>
            </w:r>
          </w:p>
        </w:tc>
      </w:tr>
      <w:tr>
        <w:trPr/>
        <w:tc>
          <w:tcPr>
            <w:tcW w:w="1900"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sz w:val="20"/>
                <w:szCs w:val="20"/>
              </w:rPr>
              <w:t>Last bag delivery time</w:t>
            </w:r>
          </w:p>
        </w:tc>
        <w:tc>
          <w:tcPr>
            <w:tcW w:w="1900"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sz w:val="20"/>
                <w:szCs w:val="20"/>
              </w:rPr>
              <w:t>Aircraft chock-on</w:t>
            </w:r>
          </w:p>
        </w:tc>
        <w:tc>
          <w:tcPr>
            <w:tcW w:w="1900"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sz w:val="20"/>
                <w:szCs w:val="20"/>
              </w:rPr>
              <w:t>Last bag on belt</w:t>
            </w:r>
          </w:p>
        </w:tc>
        <w:tc>
          <w:tcPr>
            <w:tcW w:w="1999"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sz w:val="20"/>
                <w:szCs w:val="20"/>
              </w:rPr>
              <w:t>Rs. 2,500 per breach</w:t>
            </w:r>
          </w:p>
        </w:tc>
        <w:tc>
          <w:tcPr>
            <w:tcW w:w="1661"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sz w:val="20"/>
                <w:szCs w:val="20"/>
              </w:rPr>
              <w:t>22 minutes</w:t>
            </w:r>
          </w:p>
        </w:tc>
      </w:tr>
    </w:tbl>
    <w:p>
      <w:pPr>
        <w:pStyle w:val="Normal"/>
        <w:spacing w:before="0" w:after="160"/>
        <w:rPr/>
      </w:pPr>
      <w:r>
        <w:rPr/>
        <w:t>“</w:t>
      </w:r>
      <w:r>
        <w:rPr/>
        <w:t>Last bag delivery time” is measured electronically via the Airport’s baggage handling system (BHS), which timestamps the aircraft chock-on event and the last bag on belt event for every arriving flight. The maximum duration benchmark for this metric is 22 minutes, as set by the Airport’s operational standards referenced in Section 6.</w:t>
      </w:r>
    </w:p>
    <w:p>
      <w:pPr>
        <w:pStyle w:val="Heading1"/>
        <w:rPr/>
      </w:pPr>
      <w:r>
        <w:rPr/>
      </w:r>
    </w:p>
    <w:p>
      <w:pPr>
        <w:pStyle w:val="Heading1"/>
        <w:rPr/>
      </w:pPr>
      <w:r>
        <w:rPr/>
      </w:r>
    </w:p>
    <w:p>
      <w:pPr>
        <w:pStyle w:val="Heading1"/>
        <w:rPr/>
      </w:pPr>
      <w:r>
        <w:rPr/>
        <w:t>4. Service Level Standards — Crystal Air Hygiene Services</w:t>
      </w:r>
    </w:p>
    <w:p>
      <w:pPr>
        <w:pStyle w:val="Normal"/>
        <w:spacing w:before="0" w:after="160"/>
        <w:rPr/>
      </w:pPr>
      <w:r>
        <w:rPr/>
        <w:t>Crystal Air Hygiene Services shall be bound by the following cabin cleaning performance standard, measured between the specified start and stop events for each turnaround:</w:t>
      </w:r>
    </w:p>
    <w:tbl>
      <w:tblPr>
        <w:tblW w:w="9360" w:type="dxa"/>
        <w:jc w:val="left"/>
        <w:tblInd w:w="0" w:type="dxa"/>
        <w:tblLayout w:type="fixed"/>
        <w:tblCellMar>
          <w:top w:w="80" w:type="dxa"/>
          <w:left w:w="120" w:type="dxa"/>
          <w:bottom w:w="80" w:type="dxa"/>
          <w:right w:w="120" w:type="dxa"/>
        </w:tblCellMar>
      </w:tblPr>
      <w:tblGrid>
        <w:gridCol w:w="1900"/>
        <w:gridCol w:w="1900"/>
        <w:gridCol w:w="1900"/>
        <w:gridCol w:w="1999"/>
        <w:gridCol w:w="1661"/>
      </w:tblGrid>
      <w:tr>
        <w:trPr/>
        <w:tc>
          <w:tcPr>
            <w:tcW w:w="1900" w:type="dxa"/>
            <w:tcBorders>
              <w:top w:val="single" w:sz="2" w:space="0" w:color="CCCCCC"/>
              <w:left w:val="single" w:sz="2" w:space="0" w:color="CCCCCC"/>
              <w:bottom w:val="single" w:sz="2" w:space="0" w:color="CCCCCC"/>
              <w:right w:val="single" w:sz="2" w:space="0" w:color="CCCCCC"/>
            </w:tcBorders>
            <w:shd w:fill="1F3B57" w:val="clear"/>
          </w:tcPr>
          <w:p>
            <w:pPr>
              <w:pStyle w:val="Normal"/>
              <w:widowControl w:val="false"/>
              <w:rPr/>
            </w:pPr>
            <w:r>
              <w:rPr>
                <w:b/>
                <w:bCs/>
                <w:color w:val="FFFFFF"/>
                <w:sz w:val="20"/>
                <w:szCs w:val="20"/>
              </w:rPr>
              <w:t>Metric</w:t>
            </w:r>
          </w:p>
        </w:tc>
        <w:tc>
          <w:tcPr>
            <w:tcW w:w="1900" w:type="dxa"/>
            <w:tcBorders>
              <w:top w:val="single" w:sz="2" w:space="0" w:color="CCCCCC"/>
              <w:left w:val="single" w:sz="2" w:space="0" w:color="CCCCCC"/>
              <w:bottom w:val="single" w:sz="2" w:space="0" w:color="CCCCCC"/>
              <w:right w:val="single" w:sz="2" w:space="0" w:color="CCCCCC"/>
            </w:tcBorders>
            <w:shd w:fill="1F3B57" w:val="clear"/>
          </w:tcPr>
          <w:p>
            <w:pPr>
              <w:pStyle w:val="Normal"/>
              <w:widowControl w:val="false"/>
              <w:rPr/>
            </w:pPr>
            <w:r>
              <w:rPr>
                <w:b/>
                <w:bCs/>
                <w:color w:val="FFFFFF"/>
                <w:sz w:val="20"/>
                <w:szCs w:val="20"/>
              </w:rPr>
              <w:t>Start Event</w:t>
            </w:r>
          </w:p>
        </w:tc>
        <w:tc>
          <w:tcPr>
            <w:tcW w:w="1900" w:type="dxa"/>
            <w:tcBorders>
              <w:top w:val="single" w:sz="2" w:space="0" w:color="CCCCCC"/>
              <w:left w:val="single" w:sz="2" w:space="0" w:color="CCCCCC"/>
              <w:bottom w:val="single" w:sz="2" w:space="0" w:color="CCCCCC"/>
              <w:right w:val="single" w:sz="2" w:space="0" w:color="CCCCCC"/>
            </w:tcBorders>
            <w:shd w:fill="1F3B57" w:val="clear"/>
          </w:tcPr>
          <w:p>
            <w:pPr>
              <w:pStyle w:val="Normal"/>
              <w:widowControl w:val="false"/>
              <w:rPr/>
            </w:pPr>
            <w:r>
              <w:rPr>
                <w:b/>
                <w:bCs/>
                <w:color w:val="FFFFFF"/>
                <w:sz w:val="20"/>
                <w:szCs w:val="20"/>
              </w:rPr>
              <w:t>Stop Event</w:t>
            </w:r>
          </w:p>
        </w:tc>
        <w:tc>
          <w:tcPr>
            <w:tcW w:w="1999" w:type="dxa"/>
            <w:tcBorders>
              <w:top w:val="single" w:sz="2" w:space="0" w:color="CCCCCC"/>
              <w:left w:val="single" w:sz="2" w:space="0" w:color="CCCCCC"/>
              <w:bottom w:val="single" w:sz="2" w:space="0" w:color="CCCCCC"/>
              <w:right w:val="single" w:sz="2" w:space="0" w:color="CCCCCC"/>
            </w:tcBorders>
            <w:shd w:fill="1F3B57" w:val="clear"/>
          </w:tcPr>
          <w:p>
            <w:pPr>
              <w:pStyle w:val="Normal"/>
              <w:widowControl w:val="false"/>
              <w:rPr/>
            </w:pPr>
            <w:r>
              <w:rPr>
                <w:b/>
                <w:bCs/>
                <w:color w:val="FFFFFF"/>
                <w:sz w:val="20"/>
                <w:szCs w:val="20"/>
              </w:rPr>
              <w:t>Penalty for Breach</w:t>
            </w:r>
          </w:p>
        </w:tc>
        <w:tc>
          <w:tcPr>
            <w:tcW w:w="1661" w:type="dxa"/>
            <w:tcBorders>
              <w:top w:val="single" w:sz="2" w:space="0" w:color="CCCCCC"/>
              <w:left w:val="single" w:sz="2" w:space="0" w:color="CCCCCC"/>
              <w:bottom w:val="single" w:sz="2" w:space="0" w:color="CCCCCC"/>
              <w:right w:val="single" w:sz="2" w:space="0" w:color="CCCCCC"/>
            </w:tcBorders>
            <w:shd w:fill="1F3B57" w:val="clear"/>
          </w:tcPr>
          <w:p>
            <w:pPr>
              <w:pStyle w:val="Normal"/>
              <w:widowControl w:val="false"/>
              <w:rPr/>
            </w:pPr>
            <w:r>
              <w:rPr>
                <w:b/>
                <w:bCs/>
                <w:color w:val="FFFFFF"/>
                <w:sz w:val="20"/>
                <w:szCs w:val="20"/>
              </w:rPr>
              <w:t>Max Duration Benchmark</w:t>
            </w:r>
          </w:p>
        </w:tc>
      </w:tr>
      <w:tr>
        <w:trPr/>
        <w:tc>
          <w:tcPr>
            <w:tcW w:w="1900"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sz w:val="20"/>
                <w:szCs w:val="20"/>
              </w:rPr>
              <w:t>Waste and galley servicing time</w:t>
            </w:r>
          </w:p>
        </w:tc>
        <w:tc>
          <w:tcPr>
            <w:tcW w:w="1900"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sz w:val="20"/>
                <w:szCs w:val="20"/>
              </w:rPr>
              <w:t>Cleaning crew boarding</w:t>
            </w:r>
          </w:p>
        </w:tc>
        <w:tc>
          <w:tcPr>
            <w:tcW w:w="1900"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sz w:val="20"/>
                <w:szCs w:val="20"/>
              </w:rPr>
              <w:t>Galley servicing complete</w:t>
            </w:r>
          </w:p>
        </w:tc>
        <w:tc>
          <w:tcPr>
            <w:tcW w:w="1999"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sz w:val="20"/>
                <w:szCs w:val="20"/>
              </w:rPr>
              <w:t>Rs. 17,500 per breach</w:t>
            </w:r>
          </w:p>
        </w:tc>
        <w:tc>
          <w:tcPr>
            <w:tcW w:w="1661"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sz w:val="20"/>
                <w:szCs w:val="20"/>
              </w:rPr>
              <w:t>9.5 minutes</w:t>
            </w:r>
          </w:p>
        </w:tc>
      </w:tr>
    </w:tbl>
    <w:p>
      <w:pPr>
        <w:pStyle w:val="Normal"/>
        <w:spacing w:before="0" w:after="160"/>
        <w:rPr/>
      </w:pPr>
      <w:r>
        <w:rPr/>
        <w:t>Both events are logged by the cleaning crew supervisor at the aircraft door and cross-verified against the Airport’s turnaround monitoring system. The maximum duration benchmark for this metric is 9.5 minutes, as set by the Airport’s operational standards referenced in Section 6.</w:t>
      </w:r>
    </w:p>
    <w:p>
      <w:pPr>
        <w:pStyle w:val="Heading1"/>
        <w:rPr/>
      </w:pPr>
      <w:r>
        <w:rPr/>
        <w:t>5. Service Level Standards — Petrosafe Aviation Fuels</w:t>
      </w:r>
    </w:p>
    <w:p>
      <w:pPr>
        <w:pStyle w:val="Normal"/>
        <w:spacing w:before="0" w:after="160"/>
        <w:rPr/>
      </w:pPr>
      <w:r>
        <w:rPr/>
        <w:t>Petrosafe Aviation Fuels shall be bound by the following fueling performance standard, measured between the specified start and stop events for each flight:</w:t>
      </w:r>
    </w:p>
    <w:tbl>
      <w:tblPr>
        <w:tblW w:w="9360" w:type="dxa"/>
        <w:jc w:val="left"/>
        <w:tblInd w:w="0" w:type="dxa"/>
        <w:tblLayout w:type="fixed"/>
        <w:tblCellMar>
          <w:top w:w="80" w:type="dxa"/>
          <w:left w:w="120" w:type="dxa"/>
          <w:bottom w:w="80" w:type="dxa"/>
          <w:right w:w="120" w:type="dxa"/>
        </w:tblCellMar>
      </w:tblPr>
      <w:tblGrid>
        <w:gridCol w:w="1900"/>
        <w:gridCol w:w="1900"/>
        <w:gridCol w:w="1900"/>
        <w:gridCol w:w="1999"/>
        <w:gridCol w:w="1661"/>
      </w:tblGrid>
      <w:tr>
        <w:trPr/>
        <w:tc>
          <w:tcPr>
            <w:tcW w:w="1900" w:type="dxa"/>
            <w:tcBorders>
              <w:top w:val="single" w:sz="2" w:space="0" w:color="CCCCCC"/>
              <w:left w:val="single" w:sz="2" w:space="0" w:color="CCCCCC"/>
              <w:bottom w:val="single" w:sz="2" w:space="0" w:color="CCCCCC"/>
              <w:right w:val="single" w:sz="2" w:space="0" w:color="CCCCCC"/>
            </w:tcBorders>
            <w:shd w:fill="1F3B57" w:val="clear"/>
          </w:tcPr>
          <w:p>
            <w:pPr>
              <w:pStyle w:val="Normal"/>
              <w:widowControl w:val="false"/>
              <w:rPr/>
            </w:pPr>
            <w:r>
              <w:rPr>
                <w:b/>
                <w:bCs/>
                <w:color w:val="FFFFFF"/>
                <w:sz w:val="20"/>
                <w:szCs w:val="20"/>
              </w:rPr>
              <w:t>Metric</w:t>
            </w:r>
          </w:p>
        </w:tc>
        <w:tc>
          <w:tcPr>
            <w:tcW w:w="1900" w:type="dxa"/>
            <w:tcBorders>
              <w:top w:val="single" w:sz="2" w:space="0" w:color="CCCCCC"/>
              <w:left w:val="single" w:sz="2" w:space="0" w:color="CCCCCC"/>
              <w:bottom w:val="single" w:sz="2" w:space="0" w:color="CCCCCC"/>
              <w:right w:val="single" w:sz="2" w:space="0" w:color="CCCCCC"/>
            </w:tcBorders>
            <w:shd w:fill="1F3B57" w:val="clear"/>
          </w:tcPr>
          <w:p>
            <w:pPr>
              <w:pStyle w:val="Normal"/>
              <w:widowControl w:val="false"/>
              <w:rPr/>
            </w:pPr>
            <w:r>
              <w:rPr>
                <w:b/>
                <w:bCs/>
                <w:color w:val="FFFFFF"/>
                <w:sz w:val="20"/>
                <w:szCs w:val="20"/>
              </w:rPr>
              <w:t>Start Event</w:t>
            </w:r>
          </w:p>
        </w:tc>
        <w:tc>
          <w:tcPr>
            <w:tcW w:w="1900" w:type="dxa"/>
            <w:tcBorders>
              <w:top w:val="single" w:sz="2" w:space="0" w:color="CCCCCC"/>
              <w:left w:val="single" w:sz="2" w:space="0" w:color="CCCCCC"/>
              <w:bottom w:val="single" w:sz="2" w:space="0" w:color="CCCCCC"/>
              <w:right w:val="single" w:sz="2" w:space="0" w:color="CCCCCC"/>
            </w:tcBorders>
            <w:shd w:fill="1F3B57" w:val="clear"/>
          </w:tcPr>
          <w:p>
            <w:pPr>
              <w:pStyle w:val="Normal"/>
              <w:widowControl w:val="false"/>
              <w:rPr/>
            </w:pPr>
            <w:r>
              <w:rPr>
                <w:b/>
                <w:bCs/>
                <w:color w:val="FFFFFF"/>
                <w:sz w:val="20"/>
                <w:szCs w:val="20"/>
              </w:rPr>
              <w:t>Stop Event</w:t>
            </w:r>
          </w:p>
        </w:tc>
        <w:tc>
          <w:tcPr>
            <w:tcW w:w="1999" w:type="dxa"/>
            <w:tcBorders>
              <w:top w:val="single" w:sz="2" w:space="0" w:color="CCCCCC"/>
              <w:left w:val="single" w:sz="2" w:space="0" w:color="CCCCCC"/>
              <w:bottom w:val="single" w:sz="2" w:space="0" w:color="CCCCCC"/>
              <w:right w:val="single" w:sz="2" w:space="0" w:color="CCCCCC"/>
            </w:tcBorders>
            <w:shd w:fill="1F3B57" w:val="clear"/>
          </w:tcPr>
          <w:p>
            <w:pPr>
              <w:pStyle w:val="Normal"/>
              <w:widowControl w:val="false"/>
              <w:rPr/>
            </w:pPr>
            <w:r>
              <w:rPr>
                <w:b/>
                <w:bCs/>
                <w:color w:val="FFFFFF"/>
                <w:sz w:val="20"/>
                <w:szCs w:val="20"/>
              </w:rPr>
              <w:t>Penalty for Breach</w:t>
            </w:r>
          </w:p>
        </w:tc>
        <w:tc>
          <w:tcPr>
            <w:tcW w:w="1661" w:type="dxa"/>
            <w:tcBorders>
              <w:top w:val="single" w:sz="2" w:space="0" w:color="CCCCCC"/>
              <w:left w:val="single" w:sz="2" w:space="0" w:color="CCCCCC"/>
              <w:bottom w:val="single" w:sz="2" w:space="0" w:color="CCCCCC"/>
              <w:right w:val="single" w:sz="2" w:space="0" w:color="CCCCCC"/>
            </w:tcBorders>
            <w:shd w:fill="1F3B57" w:val="clear"/>
          </w:tcPr>
          <w:p>
            <w:pPr>
              <w:pStyle w:val="Normal"/>
              <w:widowControl w:val="false"/>
              <w:rPr/>
            </w:pPr>
            <w:r>
              <w:rPr>
                <w:b/>
                <w:bCs/>
                <w:color w:val="FFFFFF"/>
                <w:sz w:val="20"/>
                <w:szCs w:val="20"/>
              </w:rPr>
              <w:t>Max Duration Benchmark</w:t>
            </w:r>
          </w:p>
        </w:tc>
      </w:tr>
      <w:tr>
        <w:trPr/>
        <w:tc>
          <w:tcPr>
            <w:tcW w:w="1900"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sz w:val="20"/>
                <w:szCs w:val="20"/>
              </w:rPr>
              <w:t>Fueling completion time</w:t>
            </w:r>
          </w:p>
        </w:tc>
        <w:tc>
          <w:tcPr>
            <w:tcW w:w="1900"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sz w:val="20"/>
                <w:szCs w:val="20"/>
              </w:rPr>
              <w:t>Bowser connection made</w:t>
            </w:r>
          </w:p>
        </w:tc>
        <w:tc>
          <w:tcPr>
            <w:tcW w:w="1900"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sz w:val="20"/>
                <w:szCs w:val="20"/>
              </w:rPr>
              <w:t>Fueling complete, signed off</w:t>
            </w:r>
          </w:p>
        </w:tc>
        <w:tc>
          <w:tcPr>
            <w:tcW w:w="1999"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sz w:val="20"/>
                <w:szCs w:val="20"/>
              </w:rPr>
              <w:t>Rs. 950 per breach</w:t>
            </w:r>
          </w:p>
        </w:tc>
        <w:tc>
          <w:tcPr>
            <w:tcW w:w="1661"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sz w:val="20"/>
                <w:szCs w:val="20"/>
              </w:rPr>
              <w:t>90 minutes</w:t>
            </w:r>
          </w:p>
        </w:tc>
      </w:tr>
    </w:tbl>
    <w:p>
      <w:pPr>
        <w:pStyle w:val="Normal"/>
        <w:spacing w:before="0" w:after="160"/>
        <w:rPr/>
      </w:pPr>
      <w:r>
        <w:rPr/>
        <w:t>All event timestamps are logged via the Airport’s Ramp Operations Control system and cross-verified against the Vendor’s own fuel slip records. The maximum duration benchmark for this metric is 90 minutes, as set by the Airport’s operational standards referenced in Section 6.</w:t>
      </w:r>
    </w:p>
    <w:p>
      <w:pPr>
        <w:pStyle w:val="Heading1"/>
        <w:rPr/>
      </w:pPr>
      <w:r>
        <w:rPr/>
        <w:t>6. Breach Detection and Reporting</w:t>
      </w:r>
    </w:p>
    <w:p>
      <w:pPr>
        <w:pStyle w:val="ListParagraph"/>
        <w:numPr>
          <w:ilvl w:val="0"/>
          <w:numId w:val="1"/>
        </w:numPr>
        <w:spacing w:before="0" w:after="80"/>
        <w:rPr/>
      </w:pPr>
      <w:r>
        <w:rPr/>
        <w:t>Each Vendor shall submit daily operational performance data to the Airport’s monitoring system by 23:59 on the day of operation, recording the actual start time and stop time of each event listed in Sections 3–5.</w:t>
      </w:r>
    </w:p>
    <w:p>
      <w:pPr>
        <w:pStyle w:val="ListParagraph"/>
        <w:numPr>
          <w:ilvl w:val="0"/>
          <w:numId w:val="1"/>
        </w:numPr>
        <w:spacing w:before="0" w:after="80"/>
        <w:rPr/>
      </w:pPr>
      <w:r>
        <w:rPr/>
        <w:t>A “breach” occurs whenever the elapsed time between the recorded start event and stop event for a given metric exceeds the maximum duration benchmark specified in the applicable Service Level Standards section (Sections 3–5) for that metric.</w:t>
      </w:r>
    </w:p>
    <w:p>
      <w:pPr>
        <w:pStyle w:val="ListParagraph"/>
        <w:numPr>
          <w:ilvl w:val="0"/>
          <w:numId w:val="1"/>
        </w:numPr>
        <w:spacing w:before="0" w:after="80"/>
        <w:rPr/>
      </w:pPr>
      <w:r>
        <w:rPr/>
        <w:t>Each breach shall be logged with the associated flight number, date, recorded start time, recorded stop time, and the specific clause breached.</w:t>
      </w:r>
    </w:p>
    <w:p>
      <w:pPr>
        <w:pStyle w:val="ListParagraph"/>
        <w:numPr>
          <w:ilvl w:val="0"/>
          <w:numId w:val="1"/>
        </w:numPr>
        <w:spacing w:before="0" w:after="80"/>
        <w:rPr/>
      </w:pPr>
      <w:r>
        <w:rPr/>
        <w:t>The Airport shall notify the relevant Vendor of any breach within 24 hours of detection.</w:t>
      </w:r>
    </w:p>
    <w:p>
      <w:pPr>
        <w:pStyle w:val="ListParagraph"/>
        <w:numPr>
          <w:ilvl w:val="0"/>
          <w:numId w:val="1"/>
        </w:numPr>
        <w:spacing w:before="0" w:after="80"/>
        <w:rPr/>
      </w:pPr>
      <w:r>
        <w:rPr/>
        <w:t>Vendors may raise a formal dispute against any logged breach within 7 calendar days of notification, accompanied by supporting evidence.</w:t>
      </w:r>
    </w:p>
    <w:p>
      <w:pPr>
        <w:pStyle w:val="Heading1"/>
        <w:rPr/>
      </w:pPr>
      <w:r>
        <w:rPr/>
        <w:t>7. Penalty Invoicing</w:t>
      </w:r>
    </w:p>
    <w:p>
      <w:pPr>
        <w:pStyle w:val="ListParagraph"/>
        <w:numPr>
          <w:ilvl w:val="0"/>
          <w:numId w:val="1"/>
        </w:numPr>
        <w:spacing w:before="0" w:after="80"/>
        <w:rPr/>
      </w:pPr>
      <w:r>
        <w:rPr/>
        <w:t>Penalties for breaches shall accrue per occurrence as specified in the applicable Service Level Standards section.</w:t>
      </w:r>
    </w:p>
    <w:p>
      <w:pPr>
        <w:pStyle w:val="ListParagraph"/>
        <w:numPr>
          <w:ilvl w:val="0"/>
          <w:numId w:val="1"/>
        </w:numPr>
        <w:spacing w:before="0" w:after="80"/>
        <w:rPr/>
      </w:pPr>
      <w:r>
        <w:rPr/>
        <w:t>The Airport shall issue a consolidated penalty invoice to each Vendor on a monthly basis, itemizing every breach, the associated flight number and date, and the penalty amount.</w:t>
      </w:r>
    </w:p>
    <w:p>
      <w:pPr>
        <w:pStyle w:val="ListParagraph"/>
        <w:numPr>
          <w:ilvl w:val="0"/>
          <w:numId w:val="1"/>
        </w:numPr>
        <w:spacing w:before="0" w:after="80"/>
        <w:rPr/>
      </w:pPr>
      <w:r>
        <w:rPr/>
        <w:t>Undisputed penalty invoices are payable within 15 days of issuance.</w:t>
      </w:r>
    </w:p>
    <w:p>
      <w:pPr>
        <w:pStyle w:val="Heading1"/>
        <w:rPr/>
      </w:pPr>
      <w:r>
        <w:rPr/>
        <w:t>8. Compliance Scoring</w:t>
      </w:r>
    </w:p>
    <w:p>
      <w:pPr>
        <w:pStyle w:val="Normal"/>
        <w:spacing w:before="0" w:after="160"/>
        <w:rPr/>
      </w:pPr>
      <w:r>
        <w:rPr/>
        <w:t>Each Vendor’s compliance score shall be calculated as: (Total Service Events − Breach Events) / Total Service Events × 100, evaluated monthly and on a rolling basis over the Term.</w:t>
      </w:r>
    </w:p>
    <w:tbl>
      <w:tblPr>
        <w:tblW w:w="9360" w:type="dxa"/>
        <w:jc w:val="left"/>
        <w:tblInd w:w="0" w:type="dxa"/>
        <w:tblLayout w:type="fixed"/>
        <w:tblCellMar>
          <w:top w:w="80" w:type="dxa"/>
          <w:left w:w="120" w:type="dxa"/>
          <w:bottom w:w="80" w:type="dxa"/>
          <w:right w:w="120" w:type="dxa"/>
        </w:tblCellMar>
      </w:tblPr>
      <w:tblGrid>
        <w:gridCol w:w="2399"/>
        <w:gridCol w:w="2201"/>
        <w:gridCol w:w="2699"/>
        <w:gridCol w:w="2060"/>
      </w:tblGrid>
      <w:tr>
        <w:trPr/>
        <w:tc>
          <w:tcPr>
            <w:tcW w:w="2399" w:type="dxa"/>
            <w:tcBorders>
              <w:top w:val="single" w:sz="2" w:space="0" w:color="CCCCCC"/>
              <w:left w:val="single" w:sz="2" w:space="0" w:color="CCCCCC"/>
              <w:bottom w:val="single" w:sz="2" w:space="0" w:color="CCCCCC"/>
              <w:right w:val="single" w:sz="2" w:space="0" w:color="CCCCCC"/>
            </w:tcBorders>
            <w:shd w:fill="1F3B57" w:val="clear"/>
          </w:tcPr>
          <w:p>
            <w:pPr>
              <w:pStyle w:val="Normal"/>
              <w:widowControl w:val="false"/>
              <w:rPr/>
            </w:pPr>
            <w:r>
              <w:rPr>
                <w:b/>
                <w:bCs/>
                <w:color w:val="FFFFFF"/>
                <w:sz w:val="20"/>
                <w:szCs w:val="20"/>
              </w:rPr>
              <w:t>Rating</w:t>
            </w:r>
          </w:p>
        </w:tc>
        <w:tc>
          <w:tcPr>
            <w:tcW w:w="2201" w:type="dxa"/>
            <w:tcBorders>
              <w:top w:val="single" w:sz="2" w:space="0" w:color="CCCCCC"/>
              <w:left w:val="single" w:sz="2" w:space="0" w:color="CCCCCC"/>
              <w:bottom w:val="single" w:sz="2" w:space="0" w:color="CCCCCC"/>
              <w:right w:val="single" w:sz="2" w:space="0" w:color="CCCCCC"/>
            </w:tcBorders>
            <w:shd w:fill="1F3B57" w:val="clear"/>
          </w:tcPr>
          <w:p>
            <w:pPr>
              <w:pStyle w:val="Normal"/>
              <w:widowControl w:val="false"/>
              <w:rPr/>
            </w:pPr>
            <w:r>
              <w:rPr>
                <w:b/>
                <w:bCs/>
                <w:color w:val="FFFFFF"/>
                <w:sz w:val="20"/>
                <w:szCs w:val="20"/>
              </w:rPr>
              <w:t>Score Range</w:t>
            </w:r>
          </w:p>
        </w:tc>
        <w:tc>
          <w:tcPr>
            <w:tcW w:w="2699" w:type="dxa"/>
            <w:tcBorders>
              <w:top w:val="single" w:sz="2" w:space="0" w:color="CCCCCC"/>
              <w:left w:val="single" w:sz="2" w:space="0" w:color="CCCCCC"/>
              <w:bottom w:val="single" w:sz="2" w:space="0" w:color="CCCCCC"/>
              <w:right w:val="single" w:sz="2" w:space="0" w:color="CCCCCC"/>
            </w:tcBorders>
            <w:shd w:fill="1F3B57" w:val="clear"/>
          </w:tcPr>
          <w:p>
            <w:pPr>
              <w:pStyle w:val="Normal"/>
              <w:widowControl w:val="false"/>
              <w:rPr/>
            </w:pPr>
            <w:r>
              <w:rPr>
                <w:b/>
                <w:bCs/>
                <w:color w:val="FFFFFF"/>
                <w:sz w:val="20"/>
                <w:szCs w:val="20"/>
              </w:rPr>
              <w:t>Basis</w:t>
            </w:r>
          </w:p>
        </w:tc>
        <w:tc>
          <w:tcPr>
            <w:tcW w:w="2060" w:type="dxa"/>
            <w:tcBorders>
              <w:top w:val="single" w:sz="2" w:space="0" w:color="CCCCCC"/>
              <w:left w:val="single" w:sz="2" w:space="0" w:color="CCCCCC"/>
              <w:bottom w:val="single" w:sz="2" w:space="0" w:color="CCCCCC"/>
              <w:right w:val="single" w:sz="2" w:space="0" w:color="CCCCCC"/>
            </w:tcBorders>
            <w:shd w:fill="1F3B57" w:val="clear"/>
          </w:tcPr>
          <w:p>
            <w:pPr>
              <w:pStyle w:val="Normal"/>
              <w:widowControl w:val="false"/>
              <w:rPr/>
            </w:pPr>
            <w:r>
              <w:rPr>
                <w:b/>
                <w:bCs/>
                <w:color w:val="FFFFFF"/>
                <w:sz w:val="20"/>
                <w:szCs w:val="20"/>
              </w:rPr>
              <w:t>Action</w:t>
            </w:r>
          </w:p>
        </w:tc>
      </w:tr>
      <w:tr>
        <w:trPr/>
        <w:tc>
          <w:tcPr>
            <w:tcW w:w="2399"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sz w:val="20"/>
                <w:szCs w:val="20"/>
              </w:rPr>
              <w:t>Green — Compliant</w:t>
            </w:r>
          </w:p>
        </w:tc>
        <w:tc>
          <w:tcPr>
            <w:tcW w:w="2201"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sz w:val="20"/>
                <w:szCs w:val="20"/>
              </w:rPr>
              <w:t>&gt;= 97%</w:t>
            </w:r>
          </w:p>
        </w:tc>
        <w:tc>
          <w:tcPr>
            <w:tcW w:w="2699"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sz w:val="20"/>
                <w:szCs w:val="20"/>
              </w:rPr>
              <w:t>Rolling compliance score</w:t>
            </w:r>
          </w:p>
        </w:tc>
        <w:tc>
          <w:tcPr>
            <w:tcW w:w="2060"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sz w:val="20"/>
                <w:szCs w:val="20"/>
              </w:rPr>
              <w:t>No action required</w:t>
            </w:r>
          </w:p>
        </w:tc>
      </w:tr>
      <w:tr>
        <w:trPr/>
        <w:tc>
          <w:tcPr>
            <w:tcW w:w="2399" w:type="dxa"/>
            <w:tcBorders>
              <w:top w:val="single" w:sz="2" w:space="0" w:color="CCCCCC"/>
              <w:left w:val="single" w:sz="2" w:space="0" w:color="CCCCCC"/>
              <w:bottom w:val="single" w:sz="2" w:space="0" w:color="CCCCCC"/>
              <w:right w:val="single" w:sz="2" w:space="0" w:color="CCCCCC"/>
            </w:tcBorders>
            <w:shd w:fill="EAF1F6" w:val="clear"/>
          </w:tcPr>
          <w:p>
            <w:pPr>
              <w:pStyle w:val="Normal"/>
              <w:widowControl w:val="false"/>
              <w:rPr/>
            </w:pPr>
            <w:r>
              <w:rPr>
                <w:sz w:val="20"/>
                <w:szCs w:val="20"/>
              </w:rPr>
              <w:t>Yellow — At Risk</w:t>
            </w:r>
          </w:p>
        </w:tc>
        <w:tc>
          <w:tcPr>
            <w:tcW w:w="2201" w:type="dxa"/>
            <w:tcBorders>
              <w:top w:val="single" w:sz="2" w:space="0" w:color="CCCCCC"/>
              <w:left w:val="single" w:sz="2" w:space="0" w:color="CCCCCC"/>
              <w:bottom w:val="single" w:sz="2" w:space="0" w:color="CCCCCC"/>
              <w:right w:val="single" w:sz="2" w:space="0" w:color="CCCCCC"/>
            </w:tcBorders>
            <w:shd w:fill="EAF1F6" w:val="clear"/>
          </w:tcPr>
          <w:p>
            <w:pPr>
              <w:pStyle w:val="Normal"/>
              <w:widowControl w:val="false"/>
              <w:rPr/>
            </w:pPr>
            <w:r>
              <w:rPr>
                <w:sz w:val="20"/>
                <w:szCs w:val="20"/>
              </w:rPr>
              <w:t>85% – 96.9%</w:t>
            </w:r>
          </w:p>
        </w:tc>
        <w:tc>
          <w:tcPr>
            <w:tcW w:w="2699" w:type="dxa"/>
            <w:tcBorders>
              <w:top w:val="single" w:sz="2" w:space="0" w:color="CCCCCC"/>
              <w:left w:val="single" w:sz="2" w:space="0" w:color="CCCCCC"/>
              <w:bottom w:val="single" w:sz="2" w:space="0" w:color="CCCCCC"/>
              <w:right w:val="single" w:sz="2" w:space="0" w:color="CCCCCC"/>
            </w:tcBorders>
            <w:shd w:fill="EAF1F6" w:val="clear"/>
          </w:tcPr>
          <w:p>
            <w:pPr>
              <w:pStyle w:val="Normal"/>
              <w:widowControl w:val="false"/>
              <w:rPr/>
            </w:pPr>
            <w:r>
              <w:rPr>
                <w:sz w:val="20"/>
                <w:szCs w:val="20"/>
              </w:rPr>
              <w:t>Rolling compliance score</w:t>
            </w:r>
          </w:p>
        </w:tc>
        <w:tc>
          <w:tcPr>
            <w:tcW w:w="2060" w:type="dxa"/>
            <w:tcBorders>
              <w:top w:val="single" w:sz="2" w:space="0" w:color="CCCCCC"/>
              <w:left w:val="single" w:sz="2" w:space="0" w:color="CCCCCC"/>
              <w:bottom w:val="single" w:sz="2" w:space="0" w:color="CCCCCC"/>
              <w:right w:val="single" w:sz="2" w:space="0" w:color="CCCCCC"/>
            </w:tcBorders>
            <w:shd w:fill="EAF1F6" w:val="clear"/>
          </w:tcPr>
          <w:p>
            <w:pPr>
              <w:pStyle w:val="Normal"/>
              <w:widowControl w:val="false"/>
              <w:rPr/>
            </w:pPr>
            <w:r>
              <w:rPr>
                <w:sz w:val="20"/>
                <w:szCs w:val="20"/>
              </w:rPr>
              <w:t>Performance improvement notice issued</w:t>
            </w:r>
          </w:p>
        </w:tc>
      </w:tr>
      <w:tr>
        <w:trPr/>
        <w:tc>
          <w:tcPr>
            <w:tcW w:w="2399"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sz w:val="20"/>
                <w:szCs w:val="20"/>
              </w:rPr>
              <w:t>Red — Non-Compliant</w:t>
            </w:r>
          </w:p>
        </w:tc>
        <w:tc>
          <w:tcPr>
            <w:tcW w:w="2201"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sz w:val="20"/>
                <w:szCs w:val="20"/>
              </w:rPr>
              <w:t>&lt; 85%</w:t>
            </w:r>
          </w:p>
        </w:tc>
        <w:tc>
          <w:tcPr>
            <w:tcW w:w="2699"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sz w:val="20"/>
                <w:szCs w:val="20"/>
              </w:rPr>
              <w:t>Rolling compliance score</w:t>
            </w:r>
          </w:p>
        </w:tc>
        <w:tc>
          <w:tcPr>
            <w:tcW w:w="2060"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sz w:val="20"/>
                <w:szCs w:val="20"/>
              </w:rPr>
              <w:t>Formal review; renewal at risk</w:t>
            </w:r>
          </w:p>
        </w:tc>
      </w:tr>
    </w:tbl>
    <w:p>
      <w:pPr>
        <w:pStyle w:val="Normal"/>
        <w:spacing w:before="200" w:after="0"/>
        <w:rPr/>
      </w:pPr>
      <w:r>
        <w:rPr/>
      </w:r>
    </w:p>
    <w:p>
      <w:pPr>
        <w:pStyle w:val="Heading1"/>
        <w:rPr/>
      </w:pPr>
      <w:r>
        <w:rPr/>
        <w:t>9. Contract Renewal</w:t>
      </w:r>
    </w:p>
    <w:p>
      <w:pPr>
        <w:pStyle w:val="Normal"/>
        <w:spacing w:before="0" w:after="160"/>
        <w:rPr/>
      </w:pPr>
      <w:r>
        <w:rPr/>
        <w:t>Not later than 90 days prior to expiry of the Term, the Airport shall review each Vendor’s trailing 12-month (or, where the Term is shorter, the full available period) compliance score and shall determine, in its sole discretion, whether to (a) renew the Agreement on existing terms, (b) renew subject to renegotiated terms, or (c) decline to renew and seek an alternative service provider.</w:t>
      </w:r>
    </w:p>
    <w:p>
      <w:pPr>
        <w:pStyle w:val="Heading1"/>
        <w:rPr/>
      </w:pPr>
      <w:r>
        <w:rPr/>
        <w:t>10. Force Majeure</w:t>
      </w:r>
    </w:p>
    <w:p>
      <w:pPr>
        <w:pStyle w:val="Normal"/>
        <w:spacing w:before="0" w:after="160"/>
        <w:rPr/>
      </w:pPr>
      <w:r>
        <w:rPr/>
        <w:t>No penalty shall accrue for any breach directly caused by force majeure events, including but not limited to severe weather, air traffic control strikes, security incidents, or government-mandated operational restrictions, provided the affected Vendor notifies the Airport within 24 hours of the event.</w:t>
      </w:r>
    </w:p>
    <w:p>
      <w:pPr>
        <w:pStyle w:val="Heading1"/>
        <w:rPr/>
      </w:pPr>
      <w:r>
        <w:rPr/>
        <w:t>11. Term and Termination</w:t>
      </w:r>
    </w:p>
    <w:p>
      <w:pPr>
        <w:pStyle w:val="Normal"/>
        <w:spacing w:before="0" w:after="160"/>
        <w:rPr/>
      </w:pPr>
      <w:r>
        <w:rPr/>
        <w:t>This Agreement shall remain in effect from 01 July 2026 through 30 June 2027, unless terminated earlier by either party for material breach upon 30 days’ written notice, or extended by mutual written agreement of the parties.</w:t>
      </w:r>
    </w:p>
    <w:p>
      <w:pPr>
        <w:pStyle w:val="Heading1"/>
        <w:rPr/>
      </w:pPr>
      <w:r>
        <w:rPr/>
        <w:t>12. Signatures</w:t>
      </w:r>
    </w:p>
    <w:p>
      <w:pPr>
        <w:pStyle w:val="Normal"/>
        <w:spacing w:before="0" w:after="160"/>
        <w:rPr/>
      </w:pPr>
      <w:r>
        <w:rPr/>
        <w:t>IN WITNESS WHEREOF, the parties have executed this Agreement as of the date first written above.</w:t>
      </w:r>
    </w:p>
    <w:p>
      <w:pPr>
        <w:pStyle w:val="Normal"/>
        <w:spacing w:before="400" w:after="0"/>
        <w:rPr/>
      </w:pPr>
      <w:r>
        <w:rPr/>
        <w:t>_________________________</w:t>
      </w:r>
    </w:p>
    <w:p>
      <w:pPr>
        <w:pStyle w:val="Normal"/>
        <w:spacing w:before="0" w:after="160"/>
        <w:rPr/>
      </w:pPr>
      <w:r>
        <w:rPr/>
        <w:t>For Cochin International Airport Authority</w:t>
      </w:r>
    </w:p>
    <w:p>
      <w:pPr>
        <w:pStyle w:val="Normal"/>
        <w:spacing w:before="400" w:after="0"/>
        <w:rPr/>
      </w:pPr>
      <w:r>
        <w:rPr/>
        <w:t>_________________________</w:t>
      </w:r>
    </w:p>
    <w:p>
      <w:pPr>
        <w:pStyle w:val="Normal"/>
        <w:spacing w:before="0" w:after="160"/>
        <w:rPr/>
      </w:pPr>
      <w:r>
        <w:rPr/>
        <w:t>For Vendor (Vega Ramp Solutions / Crystal Air Hygiene / Petrosafe Aviation)</w:t>
      </w:r>
    </w:p>
    <w:sectPr>
      <w:headerReference w:type="default" r:id="rId2"/>
      <w:footerReference w:type="default" r:id="rId3"/>
      <w:type w:val="nextPage"/>
      <w:pgSz w:w="12240" w:h="15840"/>
      <w:pgMar w:left="1440" w:right="1440" w:gutter="0" w:header="708" w:top="1440" w:footer="708"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888888"/>
        <w:sz w:val="16"/>
        <w:szCs w:val="16"/>
      </w:rPr>
      <w:t xml:space="preserve">CONFIDENTIAL — Page </w:t>
    </w:r>
    <w:r>
      <w:rPr/>
      <w:fldChar w:fldCharType="begin"/>
    </w:r>
    <w:r>
      <w:rPr/>
      <w:instrText xml:space="preserve"> PAGE </w:instrText>
    </w:r>
    <w:r>
      <w:rPr/>
      <w:fldChar w:fldCharType="separate"/>
    </w:r>
    <w:r>
      <w:rPr/>
      <w:t>4</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1F3B57"/>
      </w:pBdr>
      <w:jc w:val="center"/>
      <w:rPr/>
    </w:pPr>
    <w:r>
      <w:rPr>
        <w:color w:val="555555"/>
        <w:sz w:val="16"/>
        <w:szCs w:val="16"/>
      </w:rPr>
      <w:t>Kochi International Airport — Ground Handling SLA</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86"/>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IN"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auto"/>
      <w:kern w:val="0"/>
      <w:sz w:val="22"/>
      <w:szCs w:val="22"/>
      <w:lang w:val="en-IN" w:eastAsia="zh-CN" w:bidi="hi-IN"/>
    </w:rPr>
  </w:style>
  <w:style w:type="paragraph" w:styleId="Heading1">
    <w:name w:val="Heading 1"/>
    <w:basedOn w:val="Heading"/>
    <w:qFormat/>
    <w:pPr>
      <w:spacing w:before="320" w:after="200"/>
      <w:outlineLvl w:val="0"/>
    </w:pPr>
    <w:rPr>
      <w:rFonts w:ascii="Arial" w:hAnsi="Arial" w:eastAsia="Arial" w:cs="Arial"/>
      <w:b/>
      <w:bCs/>
      <w:color w:val="1F3B57"/>
      <w:sz w:val="30"/>
      <w:szCs w:val="30"/>
    </w:rPr>
  </w:style>
  <w:style w:type="paragraph" w:styleId="Heading2">
    <w:name w:val="Heading 2"/>
    <w:basedOn w:val="Heading"/>
    <w:qFormat/>
    <w:pPr>
      <w:spacing w:before="240" w:after="160"/>
      <w:outlineLvl w:val="1"/>
    </w:pPr>
    <w:rPr>
      <w:rFonts w:ascii="Arial" w:hAnsi="Arial" w:eastAsia="Arial" w:cs="Arial"/>
      <w:b/>
      <w:bCs/>
      <w:color w:val="1F3B57"/>
      <w:sz w:val="25"/>
      <w:szCs w:val="25"/>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Internet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Anchor">
    <w:name w:val="Footnote Anchor"/>
    <w:rPr>
      <w:vertAlign w:val="superscript"/>
    </w:rPr>
  </w:style>
  <w:style w:type="character" w:styleId="FootnoteTextChar">
    <w:name w:val="Footnote Text Char"/>
    <w:link w:val="Footnote"/>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Anchor">
    <w:name w:val="Endnote Anchor"/>
    <w:rPr>
      <w:vertAlign w:val="superscript"/>
    </w:rPr>
  </w:style>
  <w:style w:type="character" w:styleId="EndnoteTextChar">
    <w:name w:val="Endnote Text Char"/>
    <w:link w:val="Endnote"/>
    <w:uiPriority w:val="99"/>
    <w:semiHidden/>
    <w:unhideWhenUsed/>
    <w:qFormat/>
    <w:rPr>
      <w:sz w:val="20"/>
      <w:szCs w:val="20"/>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Heading"/>
    <w:qFormat/>
    <w:pPr/>
    <w:rPr>
      <w:sz w:val="56"/>
      <w:szCs w:val="56"/>
    </w:rPr>
  </w:style>
  <w:style w:type="paragraph" w:styleId="Strong">
    <w:name w:val="Strong"/>
    <w:qFormat/>
    <w:pPr>
      <w:widowControl/>
      <w:bidi w:val="0"/>
      <w:spacing w:before="0" w:after="0"/>
      <w:jc w:val="left"/>
    </w:pPr>
    <w:rPr>
      <w:rFonts w:ascii="Arial" w:hAnsi="Arial" w:eastAsia="Arial" w:cs="Arial"/>
      <w:b/>
      <w:bCs/>
      <w:color w:val="auto"/>
      <w:kern w:val="0"/>
      <w:sz w:val="22"/>
      <w:szCs w:val="22"/>
      <w:lang w:val="en-IN" w:eastAsia="zh-CN" w:bidi="hi-IN"/>
    </w:rPr>
  </w:style>
  <w:style w:type="paragraph" w:styleId="ListParagraph">
    <w:name w:val="List Paragraph"/>
    <w:qFormat/>
    <w:pPr>
      <w:widowControl/>
      <w:bidi w:val="0"/>
      <w:spacing w:before="0" w:after="0"/>
      <w:jc w:val="left"/>
    </w:pPr>
    <w:rPr>
      <w:rFonts w:ascii="Arial" w:hAnsi="Arial" w:eastAsia="Arial" w:cs="Arial"/>
      <w:color w:val="auto"/>
      <w:kern w:val="0"/>
      <w:sz w:val="22"/>
      <w:szCs w:val="22"/>
      <w:lang w:val="en-IN" w:eastAsia="zh-CN" w:bidi="hi-IN"/>
    </w:rPr>
  </w:style>
  <w:style w:type="paragraph" w:styleId="Footnote">
    <w:name w:val="Footnote Text"/>
    <w:basedOn w:val="Normal"/>
    <w:link w:val="FootnoteTextChar"/>
    <w:uiPriority w:val="99"/>
    <w:semiHidden/>
    <w:unhideWhenUsed/>
    <w:pPr>
      <w:spacing w:lineRule="auto" w:line="240" w:before="0" w:after="0"/>
    </w:pPr>
    <w:rPr>
      <w:sz w:val="20"/>
      <w:szCs w:val="20"/>
    </w:rPr>
  </w:style>
  <w:style w:type="paragraph" w:styleId="Endnote">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LibreOffice/7.3.7.2$Linux_X86_64 LibreOffice_project/30$Build-2</Application>
  <AppVersion>15.0000</AppVersion>
  <Pages>4</Pages>
  <Words>924</Words>
  <Characters>5182</Characters>
  <CharactersWithSpaces>6011</CharactersWithSpaces>
  <Paragraphs>95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2026-06-19T06:55:52Z</dcterms:created>
  <dc:creator>Un-named</dc:creator>
  <dc:description/>
  <dc:language>en-IN</dc:language>
  <cp:lastModifiedBy/>
  <dcterms:modified xsi:type="dcterms:W3CDTF">2026-06-26T10:24:00Z</dcterms:modified>
  <cp:revision>2</cp:revision>
  <dc:subject/>
  <dc:title/>
</cp:coreProperties>
</file>