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FuelTech Aviation Services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Fueling — Operational Performance Data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Source SLA: </w:t>
      </w:r>
      <w:r>
        <w:rPr>
          <w:sz w:val="20"/>
          <w:szCs w:val="20"/>
        </w:rPr>
        <w:t xml:space="preserve">Calicut International Airport (CCJ) — Ground Handling Service Level Agreement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Service: </w:t>
      </w:r>
      <w:r>
        <w:rPr>
          <w:sz w:val="20"/>
          <w:szCs w:val="20"/>
        </w:rPr>
        <w:t xml:space="preserve">Fueling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period: </w:t>
      </w:r>
      <w:r>
        <w:rPr>
          <w:sz w:val="20"/>
          <w:szCs w:val="20"/>
        </w:rPr>
        <w:t xml:space="preserve">2026-04-01 to 2026-04-30 (30 days, sample of 90-day dataset)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is synthetic dummy operational data generated for testing AeroLedger's ingestion and breach-detection pipeline.</w:t>
      </w:r>
    </w:p>
    <w:p>
      <w:pPr>
        <w:pStyle w:val="Heading2"/>
      </w:pPr>
      <w:r>
        <w:t xml:space="preserve">Metric — Fueling completion time (Contract Clause, Section 3)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Measured: time from bowser connection made to fueling complete, signed off. Operational benchmark: 40 minutes max.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1500"/>
        <w:gridCol w:w="17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UK1102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SG1101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33.4</w:t>
            </w:r>
          </w:p>
        </w:tc>
      </w:tr>
    </w:tbl>
    <w:p>
      <w:pPr>
        <w:spacing w:before="240"/>
      </w:pPr>
      <w:r>
        <w:rPr>
          <w:b/>
          <w:bCs/>
          <w:sz w:val="20"/>
          <w:szCs w:val="20"/>
        </w:rPr>
        <w:t xml:space="preserve">Summary (30-day sample): </w:t>
      </w:r>
      <w:r>
        <w:rPr>
          <w:sz w:val="20"/>
          <w:szCs w:val="20"/>
        </w:rPr>
        <w:t xml:space="preserve">334 events, 28 breaches, compliance score 91.62%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4"/>
        <w:szCs w:val="14"/>
      </w:rPr>
      <w:t xml:space="preserve">FuelTech Aviation Services — Operational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2026-06-17T09:02:10.649Z</dcterms:created>
  <dcterms:modified xsi:type="dcterms:W3CDTF">2026-06-17T09:02:10.649Z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