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AeroSwift Ground Services Pvt Ltd — Operational Data</w:t>
      </w:r>
    </w:p>
    <w:p>
      <w:pPr>
        <w:pStyle w:val="Heading1"/>
        <w:spacing w:after="120" w:before="100"/>
      </w:pPr>
      <w:r>
        <w:rPr>
          <w:b/>
          <w:bCs/>
          <w:sz w:val="32"/>
          <w:szCs w:val="32"/>
        </w:rPr>
        <w:t xml:space="preserve">AeroSwift Ground Services Pvt Ltd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Baggage Handling — Operational Performance Data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Source SLA: </w:t>
      </w:r>
      <w:r>
        <w:rPr>
          <w:sz w:val="19"/>
          <w:szCs w:val="19"/>
        </w:rPr>
        <w:t xml:space="preserve">Cochin International Airport (COK) — Ground Handling Service Level Agreement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Service: </w:t>
      </w:r>
      <w:r>
        <w:rPr>
          <w:sz w:val="19"/>
          <w:szCs w:val="19"/>
        </w:rPr>
        <w:t xml:space="preserve">Baggage Handling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Data period: </w:t>
      </w:r>
      <w:r>
        <w:rPr>
          <w:sz w:val="19"/>
          <w:szCs w:val="19"/>
        </w:rPr>
        <w:t xml:space="preserve">2026-05-01 to 2026-05-30 (30 days, sample of 90-day dataset)</w:t>
      </w:r>
    </w:p>
    <w:p>
      <w:pPr>
        <w:spacing w:after="240"/>
      </w:pPr>
      <w:r>
        <w:rPr>
          <w:b/>
          <w:bCs/>
          <w:sz w:val="19"/>
          <w:szCs w:val="19"/>
        </w:rPr>
        <w:t xml:space="preserve">Note: </w:t>
      </w:r>
      <w:r>
        <w:rPr>
          <w:i/>
          <w:iCs/>
          <w:sz w:val="19"/>
          <w:szCs w:val="19"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Metric — Last bag delivery time (Contract Clause)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000"/>
        <w:gridCol w:w="17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Flight 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0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2026-06-29T09:53:03.594Z</dcterms:created>
  <dcterms:modified xsi:type="dcterms:W3CDTF">2026-06-29T09:53:03.607Z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