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Fast-Track Reserve Rules</w:t>
      </w:r>
    </w:p>
    <w:p>
      <w:pPr>
        <w:pStyle w:val="Heading2"/>
      </w:pPr>
      <w:r>
        <w:t>Required Fields</w:t>
      </w:r>
    </w:p>
    <w:p>
      <w:r>
        <w:t>All of the following must be present for a Fast-Track reserve estimate:</w:t>
      </w:r>
    </w:p>
    <w:p>
      <w:pPr>
        <w:pStyle w:val="ListBullet"/>
      </w:pPr>
      <w:r>
        <w:t>Insured Name</w:t>
      </w:r>
    </w:p>
    <w:p>
      <w:pPr>
        <w:pStyle w:val="ListBullet"/>
      </w:pPr>
      <w:r>
        <w:t>Estimated Loss Amount</w:t>
      </w:r>
    </w:p>
    <w:p>
      <w:pPr>
        <w:pStyle w:val="ListBullet"/>
      </w:pPr>
      <w:r>
        <w:t>Loss Location</w:t>
      </w:r>
    </w:p>
    <w:p>
      <w:pPr>
        <w:pStyle w:val="ListBullet"/>
      </w:pPr>
      <w:r>
        <w:t>Loss Description</w:t>
      </w:r>
    </w:p>
    <w:p>
      <w:pPr>
        <w:pStyle w:val="Heading2"/>
      </w:pPr>
      <w:r>
        <w:t>Base Reserve Factors (by severity)</w:t>
      </w:r>
    </w:p>
    <w:p>
      <w:pPr>
        <w:pStyle w:val="ListBullet"/>
      </w:pPr>
      <w:r>
        <w:t>Low Severity: 0.60</w:t>
      </w:r>
    </w:p>
    <w:p>
      <w:pPr>
        <w:pStyle w:val="ListBullet"/>
      </w:pPr>
      <w:r>
        <w:t>Medium Severity: 0.85</w:t>
      </w:r>
    </w:p>
    <w:p>
      <w:pPr>
        <w:pStyle w:val="ListBullet"/>
      </w:pPr>
      <w:r>
        <w:t>High Severity: 1.10</w:t>
      </w:r>
    </w:p>
    <w:p>
      <w:pPr>
        <w:pStyle w:val="Heading2"/>
      </w:pPr>
      <w:r>
        <w:t>Location Factors (by Bundesland)</w:t>
      </w:r>
    </w:p>
    <w:p>
      <w:pPr>
        <w:pStyle w:val="ListBullet"/>
      </w:pPr>
      <w:r>
        <w:t>Bayern: 1.00</w:t>
      </w:r>
    </w:p>
    <w:p>
      <w:pPr>
        <w:pStyle w:val="ListBullet"/>
      </w:pPr>
      <w:r>
        <w:t>Nordrhein-Westfalen: 1.05</w:t>
      </w:r>
    </w:p>
    <w:p>
      <w:pPr>
        <w:pStyle w:val="ListBullet"/>
      </w:pPr>
      <w:r>
        <w:t>Baden-Württemberg: 1.00</w:t>
      </w:r>
    </w:p>
    <w:p>
      <w:pPr>
        <w:pStyle w:val="ListBullet"/>
      </w:pPr>
      <w:r>
        <w:t>Hessen: 1.05</w:t>
      </w:r>
    </w:p>
    <w:p>
      <w:pPr>
        <w:pStyle w:val="ListBullet"/>
      </w:pPr>
      <w:r>
        <w:t>Berlin: 1.10</w:t>
      </w:r>
    </w:p>
    <w:p>
      <w:pPr>
        <w:pStyle w:val="ListBullet"/>
      </w:pPr>
      <w:r>
        <w:t>Hamburg: 1.05</w:t>
      </w:r>
    </w:p>
    <w:p>
      <w:pPr>
        <w:pStyle w:val="Heading2"/>
      </w:pPr>
      <w:r>
        <w:t>Reserve Terms</w:t>
      </w:r>
    </w:p>
    <w:p>
      <w:pPr>
        <w:pStyle w:val="ListBullet"/>
      </w:pPr>
      <w:r>
        <w:t>Minimum Reserve: €2,500</w:t>
      </w:r>
    </w:p>
    <w:p>
      <w:pPr>
        <w:pStyle w:val="ListBullet"/>
      </w:pPr>
      <w:r>
        <w:t>Maximum Fast-Track Reserve: €50,000 (route larger losses to Standard handling)</w:t>
      </w:r>
    </w:p>
    <w:p>
      <w:pPr>
        <w:pStyle w:val="ListBullet"/>
      </w:pPr>
      <w:r>
        <w:t>Standard Excess (Deductible): €1,000</w:t>
      </w:r>
    </w:p>
    <w:p>
      <w:pPr>
        <w:pStyle w:val="ListBullet"/>
      </w:pPr>
      <w:r>
        <w:t>Currency: EUR</w:t>
      </w:r>
    </w:p>
    <w:p>
      <w:pPr>
        <w:pStyle w:val="Heading2"/>
      </w:pPr>
      <w:r>
        <w:t>Formula</w:t>
      </w:r>
    </w:p>
    <w:p>
      <w:r>
        <w:t>Reserve = base_factor × estimated_loss × location_factor</w:t>
      </w:r>
    </w:p>
    <w:p>
      <w:r>
        <w:t>If the calculated reserve is below the minimum, apply the €2,500 floor.</w:t>
      </w:r>
    </w:p>
    <w:p>
      <w:r>
        <w:t>Always mark Fast-Track reserves as DRAFT pending claims adjuster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