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Region Mapping – Germany</w:t>
      </w:r>
    </w:p>
    <w:p>
      <w:r>
        <w:t>Contoso Reinsurance covers losses across the German federal states (Bundesländer). Detect the region from the loss-location/insured address and the subject line.</w:t>
      </w:r>
    </w:p>
    <w:p>
      <w:pPr>
        <w:pStyle w:val="Heading2"/>
      </w:pPr>
      <w:r>
        <w:t>Bayern (BY)</w:t>
      </w:r>
    </w:p>
    <w:p>
      <w:r>
        <w:t>Identifiers: München, Munich, Nürnberg, Augsburg, Regensburg, BY, Bayern, Bavaria</w:t>
      </w:r>
    </w:p>
    <w:p>
      <w:r>
        <w:t>Primary Language: German (DE)</w:t>
      </w:r>
    </w:p>
    <w:p>
      <w:pPr>
        <w:pStyle w:val="Heading2"/>
      </w:pPr>
      <w:r>
        <w:t>Nordrhein-Westfalen (NW)</w:t>
      </w:r>
    </w:p>
    <w:p>
      <w:r>
        <w:t>Identifiers: Köln, Cologne, Düsseldorf, Dortmund, Essen, Duisburg, NRW, NW</w:t>
      </w:r>
    </w:p>
    <w:p>
      <w:r>
        <w:t>Primary Language: German (DE)</w:t>
      </w:r>
    </w:p>
    <w:p>
      <w:pPr>
        <w:pStyle w:val="Heading2"/>
      </w:pPr>
      <w:r>
        <w:t>Baden-Württemberg (BW)</w:t>
      </w:r>
    </w:p>
    <w:p>
      <w:r>
        <w:t>Identifiers: Stuttgart, Karlsruhe, Mannheim, Freiburg, Heidelberg, BW</w:t>
      </w:r>
    </w:p>
    <w:p>
      <w:r>
        <w:t>Primary Language: German (DE)</w:t>
      </w:r>
    </w:p>
    <w:p>
      <w:pPr>
        <w:pStyle w:val="Heading2"/>
      </w:pPr>
      <w:r>
        <w:t>Hessen (HE)</w:t>
      </w:r>
    </w:p>
    <w:p>
      <w:r>
        <w:t>Identifiers: Frankfurt, Wiesbaden, Darmstadt, Kassel, HE</w:t>
      </w:r>
    </w:p>
    <w:p>
      <w:r>
        <w:t>Primary Language: German (DE)</w:t>
      </w:r>
    </w:p>
    <w:p>
      <w:pPr>
        <w:pStyle w:val="Heading2"/>
      </w:pPr>
      <w:r>
        <w:t>Berlin (BE)</w:t>
      </w:r>
    </w:p>
    <w:p>
      <w:r>
        <w:t>Identifiers: Berlin, BE</w:t>
      </w:r>
    </w:p>
    <w:p>
      <w:r>
        <w:t>Primary Language: German (DE)</w:t>
      </w:r>
    </w:p>
    <w:p>
      <w:pPr>
        <w:pStyle w:val="Heading2"/>
      </w:pPr>
      <w:r>
        <w:t>Hamburg (HH)</w:t>
      </w:r>
    </w:p>
    <w:p>
      <w:r>
        <w:t>Identifiers: Hamburg, HH</w:t>
      </w:r>
    </w:p>
    <w:p>
      <w:r>
        <w:t>Primary Language: German (DE)</w:t>
      </w:r>
    </w:p>
    <w:p>
      <w:pPr>
        <w:pStyle w:val="Heading2"/>
      </w:pPr>
      <w:r>
        <w:t>Niedersachsen (NI)</w:t>
      </w:r>
    </w:p>
    <w:p>
      <w:r>
        <w:t>Identifiers: Hannover, Braunschweig, Osnabrück, NI</w:t>
      </w:r>
    </w:p>
    <w:p>
      <w:r>
        <w:t>Primary Language: German (DE)</w:t>
      </w:r>
    </w:p>
    <w:p>
      <w:pPr>
        <w:pStyle w:val="Heading2"/>
      </w:pPr>
      <w:r>
        <w:t>Sachsen (SN)</w:t>
      </w:r>
    </w:p>
    <w:p>
      <w:r>
        <w:t>Identifiers: Dresden, Leipzig, Chemnitz, SN</w:t>
      </w:r>
    </w:p>
    <w:p>
      <w:r>
        <w:t>Primary Language: German (DE)</w:t>
      </w:r>
    </w:p>
    <w:p>
      <w:r>
        <w:t>Note: Detect the language from the content of the claim, not from the region. If the loss notification is written in English, set language EN even for a German state. If it is predominantly German, set language 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