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75" w:rsidRDefault="004A4075" w:rsidP="004A4075">
      <w:pPr>
        <w:pStyle w:val="1"/>
        <w:numPr>
          <w:ilvl w:val="0"/>
          <w:numId w:val="11"/>
        </w:numPr>
      </w:pPr>
      <w:r>
        <w:t>Основные положения</w:t>
      </w:r>
    </w:p>
    <w:p w:rsidR="004A4075" w:rsidRPr="004A4075" w:rsidRDefault="004A4075" w:rsidP="004A4075"/>
    <w:p w:rsidR="00FF43EF" w:rsidRPr="00496816" w:rsidRDefault="00FF43EF" w:rsidP="004A4075">
      <w:pPr>
        <w:pStyle w:val="1"/>
        <w:numPr>
          <w:ilvl w:val="1"/>
          <w:numId w:val="11"/>
        </w:numPr>
      </w:pPr>
      <w:r w:rsidRPr="00496816">
        <w:t>Основные положения теории нейронных сетей</w:t>
      </w:r>
    </w:p>
    <w:p w:rsidR="00EC3BFC" w:rsidRDefault="00EC3BFC" w:rsidP="00EC3BFC">
      <w:pPr>
        <w:pStyle w:val="1"/>
        <w:ind w:left="1276" w:firstLine="0"/>
      </w:pPr>
    </w:p>
    <w:p w:rsidR="00FF43EF" w:rsidRPr="00FF43EF" w:rsidRDefault="004A4075" w:rsidP="004A4075">
      <w:pPr>
        <w:pStyle w:val="1"/>
      </w:pPr>
      <w:r>
        <w:t xml:space="preserve">1.1.1 </w:t>
      </w:r>
      <w:r w:rsidR="00FF43EF" w:rsidRPr="00496816">
        <w:t>Строение и основные принципы функционирования нервной системы</w:t>
      </w:r>
    </w:p>
    <w:p w:rsidR="00FF43EF" w:rsidRDefault="00FF43EF" w:rsidP="00FF43EF"/>
    <w:p w:rsidR="00FF43EF" w:rsidRDefault="00FF43EF" w:rsidP="00EC3BFC">
      <w:r>
        <w:t xml:space="preserve">Искусственные нейронные сети взяли свое начало из биологии. Они основаны на элементах, функции которых аналогичны биологическому нейрону. Их взаимосвязи организованы, часто, схожим образом со связями биологических аналогов. Из-за того, что принципы познания искусственных  нейронных сетей похожи на человеческое познание, людям сложно уйти от сравнения работы нейронной сети </w:t>
      </w:r>
      <w:r w:rsidR="0021389A">
        <w:t>с мозговой активностью.</w:t>
      </w:r>
    </w:p>
    <w:p w:rsidR="0021389A" w:rsidRDefault="0021389A" w:rsidP="00EC3BFC">
      <w:r w:rsidRPr="0021389A">
        <w:t>Нервная система человека, построенная из элементов, называемых нейронами, имеет о</w:t>
      </w:r>
      <w:r>
        <w:t>шеломляющую сложность. Около 10</w:t>
      </w:r>
      <w:r w:rsidRPr="0021389A">
        <w:rPr>
          <w:vertAlign w:val="superscript"/>
        </w:rPr>
        <w:t>11</w:t>
      </w:r>
      <w:r w:rsidRPr="0021389A">
        <w:t xml:space="preserve"> ней</w:t>
      </w:r>
      <w:r>
        <w:t>ронов участвуют в 10</w:t>
      </w:r>
      <w:r w:rsidRPr="0021389A">
        <w:rPr>
          <w:vertAlign w:val="superscript"/>
        </w:rPr>
        <w:t>15</w:t>
      </w:r>
      <w:r w:rsidRPr="0021389A">
        <w:t xml:space="preserve"> передающих свя</w:t>
      </w:r>
      <w:r>
        <w:t>зях, имеющих длину метр и более [</w:t>
      </w:r>
      <w:r w:rsidRPr="0021389A">
        <w:t>1].</w:t>
      </w:r>
    </w:p>
    <w:p w:rsidR="007B6F5D" w:rsidRPr="0021389A" w:rsidRDefault="007B6F5D" w:rsidP="00EC3BFC">
      <w:r w:rsidRPr="007B6F5D">
        <w:t>Нейроны состо</w:t>
      </w:r>
      <w:r>
        <w:t>ят из тела</w:t>
      </w:r>
      <w:r w:rsidRPr="007B6F5D">
        <w:t xml:space="preserve"> и отростков, среди кот</w:t>
      </w:r>
      <w:r>
        <w:t>орых выделяют дендриты и аксон (рисунок 1)</w:t>
      </w:r>
      <w:r w:rsidRPr="007B6F5D">
        <w:t>. Дендритов может быть множество, аксон всегда один.</w:t>
      </w:r>
      <w:r>
        <w:t xml:space="preserve"> </w:t>
      </w:r>
      <w:r w:rsidRPr="007B6F5D">
        <w:t>Аксон</w:t>
      </w:r>
      <w:r>
        <w:t xml:space="preserve"> (</w:t>
      </w:r>
      <w:r w:rsidRPr="007B6F5D">
        <w:t>длинный отросток нейрона</w:t>
      </w:r>
      <w:r>
        <w:t>) п</w:t>
      </w:r>
      <w:r w:rsidRPr="007B6F5D">
        <w:t>риспособлен для проведения возбуждения и информации от тела нейрона к нейрону или от нейрона к исполнительному органу.</w:t>
      </w:r>
      <w:r>
        <w:t xml:space="preserve"> В дендритах (</w:t>
      </w:r>
      <w:r w:rsidRPr="007B6F5D">
        <w:t>короткие и сильно разветвлённые отростки нейрона</w:t>
      </w:r>
      <w:r>
        <w:t>) возникают синапсы (место взаимосвязи двух нейронов).</w:t>
      </w:r>
    </w:p>
    <w:p w:rsidR="0021389A" w:rsidRDefault="00305FB4" w:rsidP="00FF43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55080" cy="2346811"/>
            <wp:effectExtent l="0" t="0" r="0" b="0"/>
            <wp:docPr id="1" name="Рисунок 9" descr="Картинки по запросу структура нейр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инки по запросу структура нейрон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E1E1E1"/>
                        </a:clrFrom>
                        <a:clrTo>
                          <a:srgbClr val="E1E1E1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59" cy="23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A" w:rsidRPr="007B6F5D" w:rsidRDefault="0021389A" w:rsidP="00EC3BFC">
      <w:pPr>
        <w:jc w:val="center"/>
      </w:pPr>
      <w:r w:rsidRPr="007B6F5D">
        <w:t xml:space="preserve">Рисунок 1 – </w:t>
      </w:r>
      <w:r w:rsidR="007B6F5D">
        <w:t>Структура нейрона.</w:t>
      </w:r>
    </w:p>
    <w:p w:rsidR="007B6F5D" w:rsidRDefault="007B6F5D" w:rsidP="00EC3BFC">
      <w:r>
        <w:t xml:space="preserve">Синапсы различаются по механизму передачи нервного импульса: химический, электрический и смешанный. </w:t>
      </w:r>
    </w:p>
    <w:p w:rsidR="007B6F5D" w:rsidRDefault="007B6F5D" w:rsidP="00EC3BFC">
      <w:r>
        <w:t xml:space="preserve">Химический механизм используется при близком прилегании двух нервных клеток. Для передачи </w:t>
      </w:r>
      <w:r w:rsidR="00EC3BFC">
        <w:t>нервного импульса используется нейромедиатор (специальное вещество), возбуждающий или затормаживающий клетку-приёмник.</w:t>
      </w:r>
    </w:p>
    <w:p w:rsidR="00EC3BFC" w:rsidRDefault="00EC3BFC" w:rsidP="00EC3BFC">
      <w:r>
        <w:t>Электрический механизм передачи используется при еще более близком прилегании пары клеток, когда мембраны соединятся с помощи особых белковых образований (коннексонов). За счет малого сопротивления межклеточной жидкости, импульс проходит не задерживаясь. Такие синапсы, обычно, бывают только возбуждающими.</w:t>
      </w:r>
    </w:p>
    <w:p w:rsidR="00EC3BFC" w:rsidRDefault="00EC3BFC" w:rsidP="00EC3BFC">
      <w:r>
        <w:t>Смешанный механизм основан на электрическом, где химическая передача выполняет роль усиливающего механизма.</w:t>
      </w:r>
    </w:p>
    <w:p w:rsidR="00EC3BFC" w:rsidRDefault="00EC3BFC" w:rsidP="00EC3BFC">
      <w:r>
        <w:t>Возбуждающие синапсы способствуют возбуждению в клетке-приемнике, что может вызвать потенциал действия в определенных условиях. Тормозные синапсы, наоборот, способны прекратить распространение импульса.</w:t>
      </w:r>
    </w:p>
    <w:p w:rsidR="004A4075" w:rsidRDefault="004A4075">
      <w:pPr>
        <w:spacing w:line="240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:rsidR="004A4075" w:rsidRDefault="004A4075" w:rsidP="00EC3BFC">
      <w:pPr>
        <w:rPr>
          <w:b/>
        </w:rPr>
      </w:pPr>
    </w:p>
    <w:p w:rsidR="00EC3BFC" w:rsidRPr="004A4075" w:rsidRDefault="00EC3BFC" w:rsidP="004A4075">
      <w:pPr>
        <w:pStyle w:val="1"/>
        <w:numPr>
          <w:ilvl w:val="2"/>
          <w:numId w:val="12"/>
        </w:numPr>
      </w:pPr>
      <w:r w:rsidRPr="004A4075">
        <w:t>Искусственный нейрон и искусственные нейронные сети</w:t>
      </w:r>
    </w:p>
    <w:p w:rsidR="00EC3BFC" w:rsidRDefault="00EC3BFC" w:rsidP="00EC3BFC"/>
    <w:p w:rsidR="00EC3BFC" w:rsidRDefault="00EC3BFC" w:rsidP="00EC3BFC">
      <w:r>
        <w:t xml:space="preserve">Структурный подход к моделированию мозга реализуется на нескольких этапах. Сначала создается информационная модель отдельной нервной клетки – </w:t>
      </w:r>
      <w:r w:rsidRPr="00EC3BFC">
        <w:rPr>
          <w:i/>
        </w:rPr>
        <w:t>искусственного нейрона</w:t>
      </w:r>
      <w:r>
        <w:t>.</w:t>
      </w:r>
      <w:r w:rsidRPr="00EC3BFC">
        <w:t xml:space="preserve"> В</w:t>
      </w:r>
      <w:r>
        <w:t xml:space="preserve"> дальнейшем, соединяя их в специальные структуры, </w:t>
      </w:r>
      <w:r w:rsidR="00210A86">
        <w:t xml:space="preserve">обучаемые специальными алгоритмами, можно получить </w:t>
      </w:r>
      <w:r w:rsidR="00210A86">
        <w:rPr>
          <w:i/>
        </w:rPr>
        <w:t>искусственную нейронную сеть</w:t>
      </w:r>
      <w:r w:rsidR="00210A86">
        <w:t>.</w:t>
      </w:r>
    </w:p>
    <w:p w:rsidR="00210A86" w:rsidRDefault="00C7324D" w:rsidP="00EC3BFC">
      <w:r>
        <w:t>В базовой модели искусственного нейрона описано следующая модель поведения:</w:t>
      </w:r>
    </w:p>
    <w:p w:rsidR="005E34AF" w:rsidRPr="004B6B30" w:rsidRDefault="00305FB4" w:rsidP="004B6B30">
      <w:pPr>
        <w:pStyle w:val="a8"/>
        <w:numPr>
          <w:ilvl w:val="0"/>
          <w:numId w:val="6"/>
        </w:numPr>
        <w:ind w:left="0" w:firstLine="709"/>
        <w:jc w:val="center"/>
        <w:rPr>
          <w:lang w:val="en-US"/>
        </w:rPr>
      </w:pPr>
      <w:r>
        <w:t xml:space="preserve">Получение входных сигналов </w:t>
      </w:r>
      <m:oMath>
        <m: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97937">
        <w:t xml:space="preserve"> </w:t>
      </w:r>
      <w:r w:rsidR="00397025">
        <w:t>с входных каналов</w:t>
      </w:r>
      <w:r w:rsidR="00F97937" w:rsidRPr="00F97937">
        <w:t xml:space="preserve"> </w:t>
      </w:r>
      <w:r w:rsidR="00F97937">
        <w:t xml:space="preserve">в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7025">
        <w:t>. Каждый канал имеет свое значение интенсивности (веса)</w:t>
      </w:r>
      <w:r w:rsidR="005E34AF">
        <w:t>.</w:t>
      </w:r>
    </w:p>
    <w:p w:rsidR="005E34AF" w:rsidRDefault="005E34AF" w:rsidP="005E34AF">
      <w:pPr>
        <w:tabs>
          <w:tab w:val="left" w:pos="3828"/>
          <w:tab w:val="left" w:pos="8931"/>
        </w:tabs>
        <w:ind w:left="709" w:firstLine="0"/>
        <w:rPr>
          <w:lang w:val="en-US"/>
        </w:rPr>
      </w:pPr>
      <w:r w:rsidRPr="005E34AF">
        <w:rPr>
          <w:lang w:val="en-US"/>
        </w:rPr>
        <w:tab/>
      </w:r>
      <m:oMath>
        <m: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Pr="005E34AF">
        <w:rPr>
          <w:lang w:val="en-US"/>
        </w:rPr>
        <w:tab/>
        <w:t>(</w:t>
      </w:r>
      <w:r>
        <w:rPr>
          <w:lang w:val="en-US"/>
        </w:rPr>
        <w:t>1</w:t>
      </w:r>
      <w:r w:rsidRPr="005E34AF">
        <w:rPr>
          <w:lang w:val="en-US"/>
        </w:rPr>
        <w:t>)</w:t>
      </w:r>
    </w:p>
    <w:p w:rsidR="00C7324D" w:rsidRPr="005E34AF" w:rsidRDefault="005E34AF" w:rsidP="005E34AF">
      <w:pPr>
        <w:tabs>
          <w:tab w:val="left" w:pos="3828"/>
          <w:tab w:val="left" w:pos="8931"/>
        </w:tabs>
        <w:ind w:left="709" w:firstLine="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lang w:val="en-US"/>
        </w:rPr>
        <w:tab/>
        <w:t>(2)</w:t>
      </w:r>
    </w:p>
    <w:p w:rsidR="004B6B30" w:rsidRPr="004B6B30" w:rsidRDefault="00F97937" w:rsidP="004B6B30">
      <w:pPr>
        <w:pStyle w:val="a8"/>
        <w:numPr>
          <w:ilvl w:val="0"/>
          <w:numId w:val="6"/>
        </w:numPr>
        <w:ind w:left="0" w:firstLine="709"/>
        <w:rPr>
          <w:lang w:val="en-US"/>
        </w:rPr>
      </w:pPr>
      <w:r>
        <w:t xml:space="preserve">Подсчет </w:t>
      </w:r>
      <w:r w:rsidRPr="00F97937">
        <w:t>взвешенн</w:t>
      </w:r>
      <w:r>
        <w:t>ой</w:t>
      </w:r>
      <w:r w:rsidRPr="00F97937">
        <w:t xml:space="preserve"> сумм</w:t>
      </w:r>
      <w:r>
        <w:t>ы</w:t>
      </w:r>
      <w:r w:rsidRPr="00F97937">
        <w:t xml:space="preserve"> входных сигналов</w:t>
      </w:r>
      <w:r>
        <w:t xml:space="preserve"> </w:t>
      </w:r>
      <m:oMath>
        <m:r>
          <w:rPr>
            <w:rFonts w:ascii="Cambria Math" w:hAnsi="Cambria Math"/>
          </w:rPr>
          <m:t>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4B6B30">
        <w:rPr>
          <w:i/>
        </w:rPr>
        <w:t xml:space="preserve">. </w:t>
      </w:r>
    </w:p>
    <w:p w:rsidR="004B6B30" w:rsidRDefault="004B6B30" w:rsidP="004B6B30">
      <w:pPr>
        <w:tabs>
          <w:tab w:val="left" w:pos="3828"/>
          <w:tab w:val="left" w:pos="8931"/>
        </w:tabs>
        <w:ind w:left="1069" w:firstLine="0"/>
        <w:rPr>
          <w:lang w:val="en-US"/>
        </w:rPr>
      </w:pPr>
      <w:r>
        <w:rPr>
          <w:i/>
          <w:lang w:val="en-US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  <w:r w:rsidRPr="004B6B30">
        <w:rPr>
          <w:lang w:val="en-US"/>
        </w:rPr>
        <w:tab/>
      </w:r>
      <w:r>
        <w:rPr>
          <w:lang w:val="en-US"/>
        </w:rPr>
        <w:t>(3)</w:t>
      </w:r>
    </w:p>
    <w:p w:rsidR="0005664A" w:rsidRPr="0005664A" w:rsidRDefault="004B6B30" w:rsidP="0005664A">
      <w:pPr>
        <w:pStyle w:val="a8"/>
        <w:numPr>
          <w:ilvl w:val="0"/>
          <w:numId w:val="6"/>
        </w:numPr>
        <w:ind w:left="0" w:firstLine="709"/>
        <w:rPr>
          <w:i/>
        </w:rPr>
      </w:pPr>
      <w:r w:rsidRPr="004B6B30">
        <w:t xml:space="preserve">Применяя функцию активации </w:t>
      </w:r>
      <w:r>
        <w:rPr>
          <w:i/>
          <w:lang w:val="en-US"/>
        </w:rPr>
        <w:t>f</w:t>
      </w:r>
      <w:r w:rsidRPr="004B6B30">
        <w:t xml:space="preserve">, получаем выходной сигнал нейрона </w:t>
      </w:r>
      <w:r>
        <w:rPr>
          <w:i/>
          <w:lang w:val="en-US"/>
        </w:rPr>
        <w:t>Y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r w:rsidRPr="004B6B30">
        <w:rPr>
          <w:i/>
        </w:rPr>
        <w:t>).</w:t>
      </w:r>
    </w:p>
    <w:p w:rsidR="004B6B30" w:rsidRDefault="0005664A" w:rsidP="0005664A">
      <w:pPr>
        <w:pStyle w:val="a8"/>
        <w:tabs>
          <w:tab w:val="left" w:pos="3969"/>
          <w:tab w:val="left" w:pos="8931"/>
        </w:tabs>
        <w:ind w:left="709" w:firstLine="0"/>
        <w:rPr>
          <w:i/>
          <w:lang w:val="en-US"/>
        </w:rPr>
      </w:pPr>
      <w:r>
        <w:rPr>
          <w:i/>
          <w:iCs/>
          <w:lang w:val="en-US"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i/>
          <w:lang w:val="en-US"/>
        </w:rPr>
        <w:tab/>
        <w:t>(4)</w:t>
      </w:r>
    </w:p>
    <w:p w:rsidR="0005664A" w:rsidRDefault="0005664A" w:rsidP="0005664A">
      <w:r>
        <w:t>Поведение нейронной сети, часто, зависит от функции активации. Обычно используются следующие функции активации:</w:t>
      </w:r>
    </w:p>
    <w:p w:rsidR="00585E6A" w:rsidRDefault="0005664A" w:rsidP="00585E6A">
      <w:pPr>
        <w:pStyle w:val="a8"/>
        <w:numPr>
          <w:ilvl w:val="0"/>
          <w:numId w:val="7"/>
        </w:numPr>
        <w:ind w:left="0" w:firstLine="709"/>
      </w:pPr>
      <w:r>
        <w:t>Пороговая функция</w:t>
      </w:r>
    </w:p>
    <w:p w:rsidR="00585E6A" w:rsidRDefault="00585E6A" w:rsidP="00585E6A">
      <w:r>
        <w:t>Простая кусочно-линейная функция. Существует всего два значения функции.</w:t>
      </w:r>
    </w:p>
    <w:p w:rsidR="00585E6A" w:rsidRPr="00D609C5" w:rsidRDefault="00D609C5" w:rsidP="00D609C5">
      <w:pPr>
        <w:tabs>
          <w:tab w:val="left" w:pos="3969"/>
          <w:tab w:val="left" w:pos="8931"/>
        </w:tabs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x&lt;c</m:t>
                </m:r>
              </m:e>
              <m:e>
                <m:r>
                  <w:rPr>
                    <w:rFonts w:ascii="Cambria Math" w:hAnsi="Cambria Math"/>
                  </w:rPr>
                  <m:t>1, x≥c</m:t>
                </m:r>
              </m:e>
            </m:eqArr>
          </m:e>
        </m:d>
      </m:oMath>
      <w:r>
        <w:rPr>
          <w:lang w:val="en-US"/>
        </w:rPr>
        <w:tab/>
        <w:t>(5)</w:t>
      </w:r>
    </w:p>
    <w:p w:rsidR="0005664A" w:rsidRDefault="00585E6A" w:rsidP="00585E6A">
      <w:pPr>
        <w:pStyle w:val="a8"/>
        <w:numPr>
          <w:ilvl w:val="0"/>
          <w:numId w:val="7"/>
        </w:numPr>
        <w:ind w:left="0" w:firstLine="709"/>
      </w:pPr>
      <w:r>
        <w:t>Линейный порог или гистерезис</w:t>
      </w:r>
    </w:p>
    <w:p w:rsidR="00585E6A" w:rsidRDefault="00012A07" w:rsidP="00585E6A">
      <w:r>
        <w:t>Кусочно-линейная функция. Два линейных участка, где функция равна минимальному или максимальному значению и участок, на котором функция монотонно возрастает.</w:t>
      </w:r>
    </w:p>
    <w:p w:rsidR="00585E6A" w:rsidRDefault="00585E6A" w:rsidP="00585E6A">
      <w:pPr>
        <w:pStyle w:val="a8"/>
        <w:numPr>
          <w:ilvl w:val="0"/>
          <w:numId w:val="7"/>
        </w:numPr>
        <w:ind w:left="0" w:firstLine="709"/>
      </w:pPr>
      <w:r>
        <w:t>Сигмоидальная функция</w:t>
      </w:r>
    </w:p>
    <w:p w:rsidR="00D609C5" w:rsidRDefault="00D609C5" w:rsidP="00D609C5">
      <w:pPr>
        <w:pStyle w:val="a8"/>
        <w:ind w:left="0"/>
      </w:pPr>
      <w:r w:rsidRPr="00D609C5">
        <w:t xml:space="preserve">Монотонно возрастающая, дифференцирумая нелинейная функция с насыщением. </w:t>
      </w:r>
      <w:r>
        <w:t>Два основных вида функции:</w:t>
      </w:r>
    </w:p>
    <w:p w:rsidR="00D609C5" w:rsidRPr="00D609C5" w:rsidRDefault="00D609C5" w:rsidP="00D609C5">
      <w:pPr>
        <w:pStyle w:val="a8"/>
        <w:numPr>
          <w:ilvl w:val="2"/>
          <w:numId w:val="7"/>
        </w:numPr>
        <w:ind w:left="1418" w:firstLine="0"/>
      </w:pPr>
      <w:r>
        <w:t>Логистическая функция</w:t>
      </w:r>
    </w:p>
    <w:p w:rsidR="00D609C5" w:rsidRDefault="00D609C5" w:rsidP="00D609C5">
      <w:pPr>
        <w:pStyle w:val="a8"/>
        <w:tabs>
          <w:tab w:val="left" w:pos="3686"/>
          <w:tab w:val="left" w:pos="8931"/>
        </w:tabs>
        <w:ind w:left="1418" w:firstLine="0"/>
        <w:rPr>
          <w:lang w:val="en-US"/>
        </w:rPr>
      </w:pPr>
      <w:r w:rsidRPr="00D609C5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-ax</m:t>
                </m:r>
              </m:sup>
            </m:sSup>
          </m:den>
        </m:f>
      </m:oMath>
      <w:r w:rsidR="00C24FC1">
        <w:rPr>
          <w:lang w:val="en-US"/>
        </w:rPr>
        <w:t>,</w:t>
      </w:r>
      <w:r>
        <w:rPr>
          <w:lang w:val="en-US"/>
        </w:rPr>
        <w:tab/>
        <w:t>(6)</w:t>
      </w:r>
    </w:p>
    <w:p w:rsidR="00C24FC1" w:rsidRPr="00C24FC1" w:rsidRDefault="00C24FC1" w:rsidP="00C24FC1">
      <w:pPr>
        <w:pStyle w:val="a8"/>
        <w:tabs>
          <w:tab w:val="left" w:pos="3686"/>
          <w:tab w:val="left" w:pos="8931"/>
        </w:tabs>
        <w:ind w:left="709"/>
      </w:pPr>
      <w:r>
        <w:t xml:space="preserve">где </w:t>
      </w:r>
      <w:r>
        <w:rPr>
          <w:i/>
        </w:rPr>
        <w:t xml:space="preserve">a </w:t>
      </w:r>
      <w:r w:rsidRPr="00C24FC1">
        <w:t xml:space="preserve">– </w:t>
      </w:r>
      <w:r>
        <w:t>параметр наклона сигмоидальной функции.</w:t>
      </w:r>
      <w:r w:rsidRPr="00C24FC1">
        <w:t xml:space="preserve"> </w:t>
      </w:r>
    </w:p>
    <w:p w:rsidR="00D609C5" w:rsidRPr="00D609C5" w:rsidRDefault="00D609C5" w:rsidP="00D609C5">
      <w:pPr>
        <w:pStyle w:val="a8"/>
        <w:numPr>
          <w:ilvl w:val="2"/>
          <w:numId w:val="7"/>
        </w:numPr>
        <w:ind w:left="709" w:firstLine="709"/>
      </w:pPr>
      <w:r>
        <w:t>Гиперболический тангенс</w:t>
      </w:r>
    </w:p>
    <w:p w:rsidR="00D609C5" w:rsidRPr="00C24FC1" w:rsidRDefault="00D609C5" w:rsidP="00D609C5">
      <w:pPr>
        <w:pStyle w:val="a8"/>
        <w:tabs>
          <w:tab w:val="left" w:pos="3686"/>
          <w:tab w:val="left" w:pos="8931"/>
        </w:tabs>
        <w:ind w:left="360" w:firstLine="0"/>
      </w:pPr>
      <w:r w:rsidRPr="00D609C5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th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C24FC1">
        <w:tab/>
        <w:t>(</w:t>
      </w:r>
      <w:r w:rsidR="00C24FC1" w:rsidRPr="00C24FC1">
        <w:t>7</w:t>
      </w:r>
      <w:r w:rsidRPr="00C24FC1">
        <w:t>)</w:t>
      </w:r>
    </w:p>
    <w:p w:rsidR="00D5608A" w:rsidRDefault="00D5608A" w:rsidP="00D5608A">
      <w:r>
        <w:t>Графики функций на рисунке 2.</w:t>
      </w:r>
    </w:p>
    <w:p w:rsidR="00D5608A" w:rsidRDefault="00D5608A" w:rsidP="00D5608A">
      <w:pPr>
        <w:jc w:val="center"/>
      </w:pPr>
      <w:r w:rsidRPr="00D5608A">
        <w:drawing>
          <wp:inline distT="0" distB="0" distL="0" distR="0">
            <wp:extent cx="4572000" cy="2552700"/>
            <wp:effectExtent l="19050" t="0" r="19050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5608A" w:rsidRDefault="00D5608A" w:rsidP="00D5608A">
      <w:pPr>
        <w:jc w:val="center"/>
      </w:pPr>
      <w:r>
        <w:t>Рисунок 2 – Графики основных функций активации</w:t>
      </w:r>
    </w:p>
    <w:p w:rsidR="00D5608A" w:rsidRDefault="00D5608A" w:rsidP="00D5608A">
      <w:pPr>
        <w:jc w:val="center"/>
      </w:pPr>
    </w:p>
    <w:p w:rsidR="00BA4EA3" w:rsidRDefault="00A95E30" w:rsidP="00BA4EA3">
      <w:r>
        <w:t xml:space="preserve">Рассмотренная простая модель </w:t>
      </w:r>
      <w:r w:rsidR="00BA4EA3" w:rsidRPr="00BA4EA3">
        <w:t>искусственного</w:t>
      </w:r>
      <w:r w:rsidR="00BA4EA3">
        <w:t xml:space="preserve"> </w:t>
      </w:r>
      <w:r>
        <w:t>нейрона и</w:t>
      </w:r>
      <w:r w:rsidR="00BA4EA3">
        <w:t>г</w:t>
      </w:r>
      <w:r>
        <w:t>норирует мно</w:t>
      </w:r>
      <w:r w:rsidR="00BA4EA3">
        <w:t>г</w:t>
      </w:r>
      <w:r>
        <w:t>ие</w:t>
      </w:r>
      <w:r w:rsidR="00BA4EA3">
        <w:t xml:space="preserve"> </w:t>
      </w:r>
      <w:r>
        <w:t xml:space="preserve">свойства </w:t>
      </w:r>
      <w:r w:rsidR="00BA4EA3">
        <w:t>своего биологического</w:t>
      </w:r>
      <w:r>
        <w:t xml:space="preserve"> двойника. Например, она не принимает</w:t>
      </w:r>
      <w:r w:rsidR="00BA4EA3">
        <w:t xml:space="preserve"> </w:t>
      </w:r>
      <w:r>
        <w:t>во внимание задержки во времени, которые воздействуют на динамику</w:t>
      </w:r>
      <w:r w:rsidR="00BA4EA3">
        <w:t xml:space="preserve"> </w:t>
      </w:r>
      <w:r>
        <w:t>системы. Входные си</w:t>
      </w:r>
      <w:r w:rsidR="00BA4EA3">
        <w:t>г</w:t>
      </w:r>
      <w:r>
        <w:t>налы сразу же порождают выходной си</w:t>
      </w:r>
      <w:r w:rsidR="00BA4EA3">
        <w:t>г</w:t>
      </w:r>
      <w:r>
        <w:t xml:space="preserve">нал. </w:t>
      </w:r>
    </w:p>
    <w:p w:rsidR="00BA4EA3" w:rsidRDefault="00A95E30" w:rsidP="00BA4EA3">
      <w:r>
        <w:t xml:space="preserve">Несмотря на эти </w:t>
      </w:r>
      <w:r w:rsidR="00BA4EA3">
        <w:t>ограничения</w:t>
      </w:r>
      <w:r>
        <w:t>, сети, построенные из таких нейронов, обнаруживают свойства, сильно напоминающие биоло</w:t>
      </w:r>
      <w:r w:rsidR="00BA4EA3">
        <w:t>г</w:t>
      </w:r>
      <w:r>
        <w:t xml:space="preserve">ическую систему. Только время и исследования </w:t>
      </w:r>
      <w:r w:rsidR="00BA4EA3">
        <w:t xml:space="preserve">смогут </w:t>
      </w:r>
      <w:r>
        <w:t>ответить на вопрос, являются ли подобные совпадения случайными или же они есть следствие т</w:t>
      </w:r>
      <w:r w:rsidR="00BA4EA3">
        <w:t>ог</w:t>
      </w:r>
      <w:r>
        <w:t>о, что в модели верно схвачены важнейшие черты биоло</w:t>
      </w:r>
      <w:r w:rsidR="00BA4EA3">
        <w:t xml:space="preserve">гического нейрона </w:t>
      </w:r>
      <w:r w:rsidR="00BA4EA3" w:rsidRPr="00BA4EA3">
        <w:t>[1].</w:t>
      </w:r>
    </w:p>
    <w:p w:rsidR="00362D10" w:rsidRDefault="00362D10" w:rsidP="00362D10">
      <w:r>
        <w:t xml:space="preserve">В данной работе, будем рассматривать искусственные нейронные сети на основе модели </w:t>
      </w:r>
      <w:r w:rsidRPr="00362D10">
        <w:rPr>
          <w:i/>
        </w:rPr>
        <w:t>перцептрона</w:t>
      </w:r>
      <w:r>
        <w:t>. Перцептрон –</w:t>
      </w:r>
      <w:r w:rsidRPr="00E91931">
        <w:t xml:space="preserve"> математическая или компьютерная модель восприятия информации мозгом</w:t>
      </w:r>
      <w:r>
        <w:t>.</w:t>
      </w:r>
    </w:p>
    <w:p w:rsidR="00362D10" w:rsidRDefault="00362D10" w:rsidP="00362D10">
      <w:r>
        <w:t xml:space="preserve">Перцептрон </w:t>
      </w:r>
      <w:r w:rsidRPr="003917F4">
        <w:t xml:space="preserve">представляет собой </w:t>
      </w:r>
      <w:r w:rsidR="0085044E">
        <w:t>искусственную нейронную сеть</w:t>
      </w:r>
      <w:r w:rsidRPr="003917F4">
        <w:t>, состоящую из генераторов сигнала трёх типов: сенсорных элементов, ассоциативных элементов и реагирующих элементов.</w:t>
      </w:r>
      <w:r w:rsidR="0085044E">
        <w:t xml:space="preserve"> </w:t>
      </w:r>
    </w:p>
    <w:p w:rsidR="00362D10" w:rsidRDefault="00362D10" w:rsidP="00362D10">
      <w:r>
        <w:t xml:space="preserve">Сенсорный элемент – </w:t>
      </w:r>
      <w:r w:rsidRPr="003917F4">
        <w:t>чувствительный элемент, который вырабатывает сигнал</w:t>
      </w:r>
      <w:r>
        <w:t>.</w:t>
      </w:r>
    </w:p>
    <w:p w:rsidR="00362D10" w:rsidRDefault="00362D10" w:rsidP="00362D10">
      <w:r>
        <w:t xml:space="preserve">Ассоциативные элементы – </w:t>
      </w:r>
      <w:r w:rsidRPr="003917F4">
        <w:t xml:space="preserve">формальные нейроны, выполняют нелинейную обработку информации и имеют изменяемые веса связей. </w:t>
      </w:r>
    </w:p>
    <w:p w:rsidR="00362D10" w:rsidRDefault="00362D10" w:rsidP="00362D10">
      <w:r>
        <w:t>Реагирующие элементы – формируют сигнал р</w:t>
      </w:r>
      <w:r w:rsidR="0085044E">
        <w:t>еакции на входной стимул, в случае превышения сигнала определенного порога, на выход нейрона подается логическая единица, иначе логический ноль.</w:t>
      </w:r>
    </w:p>
    <w:p w:rsidR="00BA4EA3" w:rsidRDefault="008F641A" w:rsidP="00BA4EA3">
      <w:pPr>
        <w:rPr>
          <w:b/>
        </w:rPr>
      </w:pPr>
      <w:r>
        <w:rPr>
          <w:b/>
        </w:rPr>
        <w:t xml:space="preserve">Однослойные </w:t>
      </w:r>
      <w:r w:rsidR="00503D72">
        <w:rPr>
          <w:b/>
        </w:rPr>
        <w:t xml:space="preserve">искусственные </w:t>
      </w:r>
      <w:r>
        <w:rPr>
          <w:b/>
        </w:rPr>
        <w:t>нейронные сети</w:t>
      </w:r>
    </w:p>
    <w:p w:rsidR="008F641A" w:rsidRDefault="008F641A" w:rsidP="00BA4EA3">
      <w:r>
        <w:t>Искусственная нейронная сеть с одним рабочим слоем показана на рисунке 3.</w:t>
      </w:r>
    </w:p>
    <w:p w:rsidR="008F641A" w:rsidRDefault="008F641A" w:rsidP="008F641A">
      <w:pPr>
        <w:jc w:val="center"/>
      </w:pPr>
      <w:r>
        <w:rPr>
          <w:noProof/>
        </w:rPr>
        <w:drawing>
          <wp:inline distT="0" distB="0" distL="0" distR="0">
            <wp:extent cx="4416425" cy="2346325"/>
            <wp:effectExtent l="19050" t="0" r="317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1A" w:rsidRDefault="008F641A" w:rsidP="008F641A">
      <w:pPr>
        <w:jc w:val="center"/>
      </w:pPr>
      <w:r>
        <w:t>Рисунок 3 – Однослойная нейронная сеть</w:t>
      </w:r>
    </w:p>
    <w:p w:rsidR="008F641A" w:rsidRDefault="008F641A" w:rsidP="008F641A">
      <w:pPr>
        <w:rPr>
          <w:lang w:val="en-US"/>
        </w:rPr>
      </w:pPr>
      <w:r>
        <w:t xml:space="preserve">На входы искусственной нейронной сети поступает множество входных сигналов </w:t>
      </w:r>
      <m:oMath>
        <m: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Pr="008F641A">
        <w:t>.</w:t>
      </w:r>
    </w:p>
    <w:p w:rsidR="00770228" w:rsidRDefault="00770228" w:rsidP="008F641A">
      <w:r>
        <w:t xml:space="preserve">Слой нейронов, </w:t>
      </w:r>
      <w:r w:rsidR="002215BA">
        <w:t xml:space="preserve">обозначенный кругами, </w:t>
      </w:r>
      <w:r>
        <w:t xml:space="preserve">на которые поступают входные сигналы, не производит никаких вычислений, носит вспомогательный характер. Часто, данный слой не учитывается в модели нейронной сети. </w:t>
      </w:r>
    </w:p>
    <w:p w:rsidR="00770228" w:rsidRDefault="00770228" w:rsidP="008F641A">
      <w:r>
        <w:t xml:space="preserve">Следующий слой, обозначенный </w:t>
      </w:r>
      <w:r w:rsidR="002215BA">
        <w:t>прямоугольными блоками</w:t>
      </w:r>
      <w:r>
        <w:t xml:space="preserve">, является </w:t>
      </w:r>
      <w:r w:rsidR="002215BA">
        <w:t xml:space="preserve">скрытым </w:t>
      </w:r>
      <w:r>
        <w:t>(рабочим</w:t>
      </w:r>
      <w:r w:rsidR="002215BA">
        <w:t>) слоем</w:t>
      </w:r>
      <w:r>
        <w:t>. На нем производятся все основные расчеты. Обучение искусственной нейронной сети заключается в коррекции весовых коэффициентов ребер, соединяющих входной и скрытый</w:t>
      </w:r>
      <w:r w:rsidR="002215BA">
        <w:t xml:space="preserve"> слой.</w:t>
      </w:r>
    </w:p>
    <w:p w:rsidR="002215BA" w:rsidRDefault="002215BA" w:rsidP="00AD2455">
      <w:r>
        <w:t>Однослойные искусственные нейронные сети наиболее просты в реализации, но ограничены по функциональным возможностям.</w:t>
      </w:r>
    </w:p>
    <w:p w:rsidR="002215BA" w:rsidRDefault="00503D72" w:rsidP="00AD2455">
      <w:pPr>
        <w:rPr>
          <w:b/>
        </w:rPr>
      </w:pPr>
      <w:r>
        <w:rPr>
          <w:b/>
        </w:rPr>
        <w:t>Многослойные искусственные нейронные сети</w:t>
      </w:r>
    </w:p>
    <w:p w:rsidR="00503D72" w:rsidRDefault="00503D72" w:rsidP="00AD2455">
      <w:r>
        <w:t>Схема многослойной искусственной нейронной сети показана на рисунке 4.</w:t>
      </w:r>
    </w:p>
    <w:p w:rsidR="00503D72" w:rsidRDefault="00503D72" w:rsidP="00503D72">
      <w:pPr>
        <w:jc w:val="center"/>
      </w:pPr>
      <w:r>
        <w:rPr>
          <w:noProof/>
        </w:rPr>
        <w:drawing>
          <wp:inline distT="0" distB="0" distL="0" distR="0">
            <wp:extent cx="4244340" cy="2752090"/>
            <wp:effectExtent l="1905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72" w:rsidRDefault="00503D72" w:rsidP="00503D72">
      <w:pPr>
        <w:jc w:val="center"/>
      </w:pPr>
      <w:r>
        <w:t>Рисунок 4 – Схема многослойной искусственной нейронной сети</w:t>
      </w:r>
    </w:p>
    <w:p w:rsidR="00CE6778" w:rsidRDefault="00CE6778" w:rsidP="00CE6778">
      <w:r>
        <w:t>Данный вид нейронных сетей получил наибольшее распространение. Облада</w:t>
      </w:r>
      <w:r w:rsidR="008E03D5">
        <w:t>ет</w:t>
      </w:r>
      <w:r>
        <w:t xml:space="preserve"> большей функциональностью за счет копирования слоистых структур определенных о</w:t>
      </w:r>
      <w:r w:rsidR="008E03D5">
        <w:t>тделов головного мозга</w:t>
      </w:r>
      <w:r>
        <w:t>.</w:t>
      </w:r>
    </w:p>
    <w:p w:rsidR="008E03D5" w:rsidRDefault="008E03D5" w:rsidP="00CE6778">
      <w:r>
        <w:t>Структура многослойных искусственных нейронных сетей похожа на однослойную, с тем различием, что скрытых (рабочих) слоев больше одного. Функции активации могут различаться на разных слоях, как и количество нейронов на них.</w:t>
      </w:r>
    </w:p>
    <w:p w:rsidR="008E03D5" w:rsidRDefault="008E03D5" w:rsidP="00CE6778">
      <w:pPr>
        <w:rPr>
          <w:b/>
        </w:rPr>
      </w:pPr>
      <w:r>
        <w:rPr>
          <w:b/>
        </w:rPr>
        <w:t>Искусственные нейронные сети с обратной связью</w:t>
      </w:r>
    </w:p>
    <w:p w:rsidR="008E03D5" w:rsidRDefault="008E03D5" w:rsidP="00CE6778">
      <w:r>
        <w:t xml:space="preserve">Перечисленные </w:t>
      </w:r>
      <w:r w:rsidR="00362D10">
        <w:t xml:space="preserve">искусственные </w:t>
      </w:r>
      <w:r>
        <w:t xml:space="preserve">нейронные сети </w:t>
      </w:r>
      <w:r w:rsidR="00362D10">
        <w:t xml:space="preserve">не имели обратных связей, а распространение сигнала шло только в одном направлении. Такой класс сетей относится к сетям прямого </w:t>
      </w:r>
      <w:r w:rsidR="00D067B9">
        <w:t>распространения</w:t>
      </w:r>
      <w:r w:rsidR="00362D10">
        <w:t xml:space="preserve"> и широко использу</w:t>
      </w:r>
      <w:r w:rsidR="00D067B9">
        <w:t>е</w:t>
      </w:r>
      <w:r w:rsidR="00362D10">
        <w:t>тся</w:t>
      </w:r>
      <w:r w:rsidR="00D067B9">
        <w:t xml:space="preserve"> на практике. </w:t>
      </w:r>
    </w:p>
    <w:p w:rsidR="00D067B9" w:rsidRDefault="00D067B9" w:rsidP="00CE6778">
      <w:r>
        <w:t>Более сложная модель искусственной нейронной – сеть с обратными связями или рекуррентная сеть. К таким сетям относятся сети Элмана и Джордана.</w:t>
      </w:r>
      <w:r w:rsidR="007B55A5">
        <w:t xml:space="preserve"> Схема рекуррентной сети представлена на рисунке 5.</w:t>
      </w:r>
    </w:p>
    <w:p w:rsidR="007B55A5" w:rsidRDefault="007B55A5" w:rsidP="007B55A5">
      <w:pPr>
        <w:jc w:val="center"/>
      </w:pPr>
      <w:r>
        <w:rPr>
          <w:noProof/>
        </w:rPr>
        <w:drawing>
          <wp:inline distT="0" distB="0" distL="0" distR="0">
            <wp:extent cx="4203285" cy="1822977"/>
            <wp:effectExtent l="19050" t="0" r="6765" b="0"/>
            <wp:docPr id="8" name="Рисунок 8" descr="Картинки по запросу рекуррентная нейрон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ки по запросу рекуррентная нейронная сеть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798" cy="182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A5" w:rsidRDefault="007B55A5" w:rsidP="007B55A5">
      <w:pPr>
        <w:jc w:val="center"/>
      </w:pPr>
      <w:r>
        <w:t>Рисунок 5 – Рекуррентная нейронная сеть</w:t>
      </w:r>
    </w:p>
    <w:p w:rsidR="007B55A5" w:rsidRDefault="000E2576" w:rsidP="000E2576">
      <w:r>
        <w:t>Данный класс искусственных нейронных сетей может запоминать последние действия, что является основным отличием от сетей прямого распространения сигнала.</w:t>
      </w:r>
    </w:p>
    <w:p w:rsidR="000E2576" w:rsidRDefault="000E2576" w:rsidP="000E2576">
      <w:pPr>
        <w:rPr>
          <w:b/>
        </w:rPr>
      </w:pPr>
      <w:r>
        <w:rPr>
          <w:b/>
        </w:rPr>
        <w:t>Искусственная нейронная сеть Элмана</w:t>
      </w:r>
    </w:p>
    <w:p w:rsidR="000E2576" w:rsidRDefault="000E2576" w:rsidP="000E2576">
      <w:r>
        <w:t xml:space="preserve">Данная нейронная сеть является рекуррентной. Получается из обычной нейронной сети посредством добавления обратной связи. Но, в отличии от сети Джордана, обратная связь идет от выхода скрытого слоя, а не выхода сети. </w:t>
      </w:r>
    </w:p>
    <w:p w:rsidR="000E2576" w:rsidRDefault="000E2576" w:rsidP="000E2576">
      <w:r>
        <w:t>Схема искусственной нейронной сети Элмана показана на рисунке 6.</w:t>
      </w:r>
    </w:p>
    <w:p w:rsidR="000E2576" w:rsidRDefault="000E2576" w:rsidP="000E2576">
      <w:pPr>
        <w:jc w:val="center"/>
      </w:pPr>
      <w:r>
        <w:rPr>
          <w:noProof/>
        </w:rPr>
        <w:drawing>
          <wp:inline distT="0" distB="0" distL="0" distR="0">
            <wp:extent cx="4753156" cy="1742536"/>
            <wp:effectExtent l="19050" t="0" r="9344" b="0"/>
            <wp:docPr id="11" name="Рисунок 11" descr="DiagramElmanNet 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ElmanNet englis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70" cy="174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576" w:rsidRDefault="000E2576" w:rsidP="000E2576">
      <w:pPr>
        <w:jc w:val="center"/>
      </w:pPr>
      <w:r>
        <w:t>Рисунок 6 –Схема искусственной нейронной сети Элмана</w:t>
      </w:r>
    </w:p>
    <w:p w:rsidR="000E2576" w:rsidRDefault="000E2576" w:rsidP="000E2576">
      <w:r>
        <w:t>Такие искусственные нейронные сети могут применятся в системах управления движущимися объектами. Так же, они позволяют решать задачи прогнозирования даже на сильно зашумленных временных рядах.</w:t>
      </w:r>
    </w:p>
    <w:p w:rsidR="00D83F62" w:rsidRDefault="00D83F62" w:rsidP="000E2576"/>
    <w:p w:rsidR="0021389A" w:rsidRDefault="00D83F62" w:rsidP="00081020">
      <w:pPr>
        <w:pStyle w:val="1"/>
        <w:numPr>
          <w:ilvl w:val="2"/>
          <w:numId w:val="12"/>
        </w:numPr>
        <w:ind w:left="0" w:firstLine="708"/>
      </w:pPr>
      <w:r w:rsidRPr="00081020">
        <w:t>Основные</w:t>
      </w:r>
      <w:r w:rsidRPr="00D83F62">
        <w:t xml:space="preserve"> принципы обучения искусственных нейронных сетей</w:t>
      </w:r>
    </w:p>
    <w:p w:rsidR="00D83F62" w:rsidRDefault="00D83F62" w:rsidP="00D83F62"/>
    <w:p w:rsidR="007C1115" w:rsidRDefault="007F285B" w:rsidP="00D83F62">
      <w:r>
        <w:t xml:space="preserve">Процесс обучения искусственных нейронных сетей </w:t>
      </w:r>
      <w:r w:rsidR="007C1115">
        <w:t>сильно напоминает процесс интеллектуального развития человеческой личности, может показаться, будто нами достигнуто глубокое понимание этого процесса [</w:t>
      </w:r>
      <w:r w:rsidR="007C1115" w:rsidRPr="007C1115">
        <w:t>1</w:t>
      </w:r>
      <w:r w:rsidR="007C1115">
        <w:t>]. Но возможности обучения нейронных сетей ограничены.</w:t>
      </w:r>
    </w:p>
    <w:p w:rsidR="007C1115" w:rsidRDefault="007C1115" w:rsidP="007C1115">
      <w:r>
        <w:t>Цель обучения – чтобы сеть, для некоторого множества входных сигналов, давала желаемое множество выходов.</w:t>
      </w:r>
    </w:p>
    <w:p w:rsidR="007C1115" w:rsidRDefault="007C1115" w:rsidP="007C1115">
      <w:r>
        <w:t>Обучение, в целом, происходит по следующему алгоритму:</w:t>
      </w:r>
    </w:p>
    <w:p w:rsidR="007C1115" w:rsidRDefault="007C1115" w:rsidP="007C1115">
      <w:pPr>
        <w:pStyle w:val="a8"/>
        <w:numPr>
          <w:ilvl w:val="0"/>
          <w:numId w:val="2"/>
        </w:numPr>
      </w:pPr>
      <w:r>
        <w:t>Предъявление входных сигналов</w:t>
      </w:r>
    </w:p>
    <w:p w:rsidR="00764F14" w:rsidRDefault="007C1115" w:rsidP="007C1115">
      <w:pPr>
        <w:pStyle w:val="a8"/>
        <w:numPr>
          <w:ilvl w:val="0"/>
          <w:numId w:val="2"/>
        </w:numPr>
      </w:pPr>
      <w:r>
        <w:t>Коррекция весов в соответствии с некоторой процедурой.</w:t>
      </w:r>
    </w:p>
    <w:p w:rsidR="00764F14" w:rsidRDefault="00764F14" w:rsidP="007C1115">
      <w:pPr>
        <w:pStyle w:val="a8"/>
        <w:numPr>
          <w:ilvl w:val="0"/>
          <w:numId w:val="2"/>
        </w:numPr>
      </w:pPr>
      <w:r>
        <w:t>Повторение с пункта 1.</w:t>
      </w:r>
    </w:p>
    <w:p w:rsidR="007C1115" w:rsidRDefault="00764F14" w:rsidP="00764F14">
      <w:r>
        <w:t>В процессе обучения веса сети постепенно становятся такими, чтобы каждый входной вектор вырабатывал выходной вектор.</w:t>
      </w:r>
    </w:p>
    <w:p w:rsidR="00764F14" w:rsidRDefault="00764F14" w:rsidP="00764F14">
      <w:r>
        <w:t xml:space="preserve">Различают алгоритмы обучения с учителем и без учителя. </w:t>
      </w:r>
    </w:p>
    <w:p w:rsidR="00764F14" w:rsidRDefault="00764F14" w:rsidP="00764F14">
      <w:r>
        <w:t xml:space="preserve">Алгоритмы обучения с учителем предполагают, что для каждого входного вектора существует целевой вектор (требуемый выход). Данная пара векторов называется </w:t>
      </w:r>
      <w:r>
        <w:rPr>
          <w:i/>
        </w:rPr>
        <w:t>обучающей парой</w:t>
      </w:r>
      <w:r>
        <w:t>.</w:t>
      </w:r>
    </w:p>
    <w:p w:rsidR="00A66AB7" w:rsidRPr="00496816" w:rsidRDefault="00764F14" w:rsidP="00A66AB7">
      <w:pPr>
        <w:ind w:firstLine="708"/>
        <w:rPr>
          <w:szCs w:val="28"/>
        </w:rPr>
      </w:pPr>
      <w:r>
        <w:t xml:space="preserve">Обучение без учителя </w:t>
      </w:r>
      <w:r w:rsidR="001E2673">
        <w:t>носит более правдоподобный, с точки зрения биологии, характер. Задаются только входные вектора, а обучение заключается в том, что бы близкие входные вектора давали одинаковый выход нейронной сети. Процесс обучения выделяет из обучающего группы входных векторов, формируя классы, на основе статических свойств.</w:t>
      </w:r>
      <w:r w:rsidR="00A66AB7">
        <w:t xml:space="preserve"> </w:t>
      </w:r>
      <w:r w:rsidR="00A66AB7" w:rsidRPr="00496816">
        <w:rPr>
          <w:szCs w:val="28"/>
        </w:rPr>
        <w:t>При этом выходные вектора, образованные на стадии самообучения трансформируются в понятную, обусловленную учителем форму</w:t>
      </w:r>
      <w:r w:rsidR="00A66AB7" w:rsidRPr="006B6544">
        <w:rPr>
          <w:szCs w:val="28"/>
        </w:rPr>
        <w:t xml:space="preserve"> [</w:t>
      </w:r>
      <w:r w:rsidR="00A66AB7">
        <w:rPr>
          <w:szCs w:val="28"/>
        </w:rPr>
        <w:t>1</w:t>
      </w:r>
      <w:r w:rsidR="00A66AB7" w:rsidRPr="006B6544">
        <w:rPr>
          <w:szCs w:val="28"/>
        </w:rPr>
        <w:t>]</w:t>
      </w:r>
      <w:r w:rsidR="00A66AB7" w:rsidRPr="00496816">
        <w:rPr>
          <w:szCs w:val="28"/>
        </w:rPr>
        <w:t>.</w:t>
      </w:r>
    </w:p>
    <w:p w:rsidR="00081020" w:rsidRDefault="00081020" w:rsidP="00081020">
      <w:pPr>
        <w:pStyle w:val="1"/>
      </w:pPr>
      <w:r w:rsidRPr="00081020">
        <w:t>1.</w:t>
      </w:r>
      <w:r>
        <w:t>2. Основные положения соревнований формата Code Game Challenge</w:t>
      </w:r>
    </w:p>
    <w:p w:rsidR="00081020" w:rsidRDefault="00081020" w:rsidP="00081020"/>
    <w:p w:rsidR="00A70F74" w:rsidRDefault="00081020" w:rsidP="00A70F74">
      <w:r>
        <w:rPr>
          <w:lang w:val="en-US"/>
        </w:rPr>
        <w:t>Code</w:t>
      </w:r>
      <w:r w:rsidRPr="00081020">
        <w:t xml:space="preserve"> </w:t>
      </w:r>
      <w:r>
        <w:rPr>
          <w:lang w:val="en-US"/>
        </w:rPr>
        <w:t>Game</w:t>
      </w:r>
      <w:r w:rsidRPr="00081020">
        <w:t xml:space="preserve"> </w:t>
      </w:r>
      <w:r>
        <w:rPr>
          <w:lang w:val="en-US"/>
        </w:rPr>
        <w:t>Challenge</w:t>
      </w:r>
      <w:r w:rsidRPr="00081020">
        <w:t xml:space="preserve"> (</w:t>
      </w:r>
      <w:r>
        <w:rPr>
          <w:lang w:val="en-US"/>
        </w:rPr>
        <w:t>CGC</w:t>
      </w:r>
      <w:r w:rsidRPr="00081020">
        <w:t>)</w:t>
      </w:r>
      <w:r>
        <w:t xml:space="preserve"> – ф</w:t>
      </w:r>
      <w:r w:rsidRPr="00081020">
        <w:t xml:space="preserve">ормат соревнований, в котором игроки практикуются в написании игровых стратегий, определяющих поведение подконтрольных им </w:t>
      </w:r>
      <w:r w:rsidR="00B87212">
        <w:t>игровых единиц</w:t>
      </w:r>
      <w:r w:rsidRPr="00081020">
        <w:t xml:space="preserve"> в игровом мире. </w:t>
      </w:r>
      <w:r w:rsidR="00B87212">
        <w:t>Подобные соревнования проводятся, по большей части, в рамках студенческих олимпиад.</w:t>
      </w:r>
    </w:p>
    <w:p w:rsidR="00B87212" w:rsidRDefault="00B87212" w:rsidP="00B87212">
      <w:r w:rsidRPr="00B87212">
        <w:t xml:space="preserve">В соревнованиях формата </w:t>
      </w:r>
      <w:r>
        <w:rPr>
          <w:lang w:val="en-US"/>
        </w:rPr>
        <w:t>CGC</w:t>
      </w:r>
      <w:r w:rsidRPr="00B87212">
        <w:t xml:space="preserve"> учас</w:t>
      </w:r>
      <w:r>
        <w:t xml:space="preserve">твуют команды из трех человек. Каждая команда работает только с одного компьютера, на котором установлены: средства разработки, программное обеспечение для отправки решения </w:t>
      </w:r>
      <w:r w:rsidR="00166507">
        <w:t>и шаблон проекта для стратегии.</w:t>
      </w:r>
    </w:p>
    <w:p w:rsidR="00832E8C" w:rsidRDefault="00166507" w:rsidP="00832E8C">
      <w:r>
        <w:t>Набор языков, используемых в соревнованиях данного формата</w:t>
      </w:r>
      <w:r w:rsidR="00832E8C">
        <w:t>,</w:t>
      </w:r>
      <w:r>
        <w:t xml:space="preserve"> определяется организаторами олимпиады, но, обычно, используются языки, разрешенные правилами </w:t>
      </w:r>
      <w:r w:rsidRPr="00166507">
        <w:t>ACM ICPC (Association for Computing Machinery International Collegiate Programming Contest,</w:t>
      </w:r>
      <w:r>
        <w:t xml:space="preserve"> Международная студенческая олимпиада по программированию</w:t>
      </w:r>
      <w:r w:rsidRPr="00166507">
        <w:t>)</w:t>
      </w:r>
      <w:r w:rsidR="00832E8C">
        <w:t xml:space="preserve">. Наиболее часто используются такие языки, как C/C++ и </w:t>
      </w:r>
      <w:r w:rsidR="00832E8C">
        <w:rPr>
          <w:lang w:val="en-US"/>
        </w:rPr>
        <w:t>Java</w:t>
      </w:r>
      <w:r w:rsidR="00832E8C" w:rsidRPr="00832E8C">
        <w:t>.</w:t>
      </w:r>
    </w:p>
    <w:p w:rsidR="00A70F74" w:rsidRDefault="00832E8C" w:rsidP="00832E8C">
      <w:r>
        <w:t xml:space="preserve">Команде-участнику выдаются правила игрового мира и краткое описание методов, применяемых игровыми единицами. Часто правила выдаются заранее, до проведения олимпиады, для того, что бы участники могли продумать игровую стратегию. Но до начала соревнований запрещается как-либо реализовывать стратегии. В целом, все участники находятся в равных условиях. </w:t>
      </w:r>
    </w:p>
    <w:p w:rsidR="00B13F60" w:rsidRDefault="00A70F74" w:rsidP="00B13F60">
      <w:r>
        <w:t xml:space="preserve">Вся симуляция происходит ограниченное количество игровых ходов. Каждый ход все игровые единицы одновременное совершают действия, прописанные игровыми стратегиями. </w:t>
      </w:r>
      <w:r w:rsidR="00DE56BB">
        <w:t>Каждый ход, игровые единицы, управляемые участниками получают или теряют очки, в зависимости от выполненных действий. В конце симуляции побеждает та игровая единица, которая получила наибольшее количество очков.</w:t>
      </w:r>
    </w:p>
    <w:p w:rsidR="00605589" w:rsidRDefault="00605589" w:rsidP="00605589">
      <w:r>
        <w:t xml:space="preserve">Стоит заметить, что основная сложность данных соревнований заключается в том, что участникам необходимо в своих стратегиях учесть множество изменяемых факторов: </w:t>
      </w:r>
    </w:p>
    <w:p w:rsidR="00605589" w:rsidRDefault="00605589" w:rsidP="00605589">
      <w:pPr>
        <w:pStyle w:val="a8"/>
        <w:numPr>
          <w:ilvl w:val="0"/>
          <w:numId w:val="13"/>
        </w:numPr>
        <w:ind w:left="0" w:firstLine="709"/>
      </w:pPr>
      <w:r>
        <w:t>Во время проведения соревнования, им известен только ограниченный набор карт игрового мира (обычно он меньше, чем тот, что используется во время итогового тестирования), что не позволяет прописать действия под каждую карту.</w:t>
      </w:r>
    </w:p>
    <w:p w:rsidR="00605589" w:rsidRDefault="00605589" w:rsidP="00605589">
      <w:pPr>
        <w:pStyle w:val="a8"/>
        <w:numPr>
          <w:ilvl w:val="0"/>
          <w:numId w:val="13"/>
        </w:numPr>
        <w:ind w:left="0" w:firstLine="709"/>
      </w:pPr>
      <w:r>
        <w:t>На карте присутствуют сторонние игровые единицы, поведение которых невозможно предсказать.</w:t>
      </w:r>
    </w:p>
    <w:p w:rsidR="00605589" w:rsidRDefault="00605589" w:rsidP="00605589">
      <w:pPr>
        <w:pStyle w:val="a8"/>
        <w:numPr>
          <w:ilvl w:val="0"/>
          <w:numId w:val="13"/>
        </w:numPr>
        <w:ind w:left="0" w:firstLine="709"/>
      </w:pPr>
      <w:r>
        <w:t>В зависимости от правил, игровые единицы могут разрушать статические объекты, открывая ранее недоступные проходы.</w:t>
      </w:r>
    </w:p>
    <w:p w:rsidR="00605589" w:rsidRDefault="00605589" w:rsidP="00605589">
      <w:pPr>
        <w:pStyle w:val="a8"/>
        <w:numPr>
          <w:ilvl w:val="0"/>
          <w:numId w:val="13"/>
        </w:numPr>
        <w:ind w:left="0" w:firstLine="709"/>
      </w:pPr>
      <w:r>
        <w:t>Различные бонусы, которые появляются на карте, размещаются в случайных местах и возникают в случайное время.</w:t>
      </w:r>
    </w:p>
    <w:p w:rsidR="00605589" w:rsidRDefault="00605589" w:rsidP="00605589">
      <w:r>
        <w:t xml:space="preserve">Все эти пункты заставляют участников писать стратегии, способные анализировать состояние игрового мира и выполнять действия, на основе этого анализа. </w:t>
      </w:r>
    </w:p>
    <w:sectPr w:rsidR="00605589" w:rsidSect="00832E8C">
      <w:footerReference w:type="default" r:id="rId13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0FC" w:rsidRDefault="005850FC" w:rsidP="0021389A">
      <w:pPr>
        <w:spacing w:line="240" w:lineRule="auto"/>
      </w:pPr>
      <w:r>
        <w:separator/>
      </w:r>
    </w:p>
  </w:endnote>
  <w:endnote w:type="continuationSeparator" w:id="1">
    <w:p w:rsidR="005850FC" w:rsidRDefault="005850FC" w:rsidP="00213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89A" w:rsidRDefault="00AD2455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left:0;text-align:left;margin-left:463.9pt;margin-top:.25pt;width:27.8pt;height:27.85pt;z-index:251659264" filled="f" stroked="f">
          <v:textbox>
            <w:txbxContent>
              <w:p w:rsidR="00AD2455" w:rsidRPr="00AD2455" w:rsidRDefault="00AD2455" w:rsidP="00AD2455">
                <w:pPr>
                  <w:ind w:firstLine="0"/>
                  <w:rPr>
                    <w:rFonts w:ascii="GOST type B" w:hAnsi="GOST type B"/>
                    <w:sz w:val="32"/>
                  </w:rPr>
                </w:pPr>
                <w:r w:rsidRPr="00AD2455">
                  <w:rPr>
                    <w:rFonts w:ascii="GOST type B" w:hAnsi="GOST type B"/>
                    <w:sz w:val="32"/>
                  </w:rPr>
                  <w:fldChar w:fldCharType="begin"/>
                </w:r>
                <w:r w:rsidRPr="00AD2455">
                  <w:rPr>
                    <w:rFonts w:ascii="GOST type B" w:hAnsi="GOST type B"/>
                    <w:sz w:val="32"/>
                  </w:rPr>
                  <w:instrText xml:space="preserve"> PAGE   \* MERGEFORMAT </w:instrText>
                </w:r>
                <w:r w:rsidRPr="00AD2455">
                  <w:rPr>
                    <w:rFonts w:ascii="GOST type B" w:hAnsi="GOST type B"/>
                    <w:sz w:val="32"/>
                  </w:rPr>
                  <w:fldChar w:fldCharType="separate"/>
                </w:r>
                <w:r w:rsidR="005850FC">
                  <w:rPr>
                    <w:rFonts w:ascii="GOST type B" w:hAnsi="GOST type B"/>
                    <w:noProof/>
                    <w:sz w:val="32"/>
                  </w:rPr>
                  <w:t>1</w:t>
                </w:r>
                <w:r w:rsidRPr="00AD2455">
                  <w:rPr>
                    <w:rFonts w:ascii="GOST type B" w:hAnsi="GOST type B"/>
                    <w:sz w:val="32"/>
                  </w:rPr>
                  <w:fldChar w:fldCharType="end"/>
                </w:r>
              </w:p>
            </w:txbxContent>
          </v:textbox>
        </v:shape>
      </w:pict>
    </w:r>
    <w:r w:rsidR="0021389A">
      <w:rPr>
        <w:noProof/>
      </w:rPr>
      <w:pict>
        <v:group id="_x0000_s2049" style="position:absolute;left:0;text-align:left;margin-left:58.05pt;margin-top:18.75pt;width:518.15pt;height:801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21389A" w:rsidRDefault="0021389A" w:rsidP="0021389A">
                  <w:pPr>
                    <w:pStyle w:val="a3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t>Да</w:t>
                  </w:r>
                  <w:r>
                    <w:rPr>
                      <w:sz w:val="18"/>
                      <w:lang w:val="ru-RU"/>
                    </w:rPr>
                    <w:t>т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21389A" w:rsidRPr="00FF43EF" w:rsidRDefault="0021389A" w:rsidP="0021389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21389A" w:rsidRPr="00FF43EF" w:rsidRDefault="0021389A" w:rsidP="0021389A">
                  <w:pPr>
                    <w:jc w:val="center"/>
                    <w:rPr>
                      <w:rFonts w:ascii="Arial" w:hAnsi="Arial" w:cs="Arial"/>
                      <w:i/>
                      <w:lang w:val="en-US"/>
                    </w:rPr>
                  </w:pPr>
                  <w:r w:rsidRPr="005917EE">
                    <w:rPr>
                      <w:rFonts w:ascii="Arial" w:hAnsi="Arial" w:cs="Arial"/>
                      <w:i/>
                      <w:sz w:val="36"/>
                      <w:szCs w:val="36"/>
                    </w:rPr>
                    <w:t>ДП-02069964-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  <w:lang w:val="en-US"/>
                    </w:rPr>
                    <w:t>090301</w:t>
                  </w:r>
                  <w:r w:rsidRPr="005917EE">
                    <w:rPr>
                      <w:rFonts w:ascii="Arial" w:hAnsi="Arial" w:cs="Arial"/>
                      <w:i/>
                      <w:sz w:val="36"/>
                      <w:szCs w:val="36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  <w:lang w:val="en-US"/>
                    </w:rPr>
                    <w:t>12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  <w:lang w:val="en-US"/>
                    </w:rPr>
                    <w:t>17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0FC" w:rsidRDefault="005850FC" w:rsidP="0021389A">
      <w:pPr>
        <w:spacing w:line="240" w:lineRule="auto"/>
      </w:pPr>
      <w:r>
        <w:separator/>
      </w:r>
    </w:p>
  </w:footnote>
  <w:footnote w:type="continuationSeparator" w:id="1">
    <w:p w:rsidR="005850FC" w:rsidRDefault="005850FC" w:rsidP="002138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7F29"/>
    <w:multiLevelType w:val="hybridMultilevel"/>
    <w:tmpl w:val="763E9F78"/>
    <w:lvl w:ilvl="0" w:tplc="446C7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354793A"/>
    <w:multiLevelType w:val="multilevel"/>
    <w:tmpl w:val="86D655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26B471E3"/>
    <w:multiLevelType w:val="multilevel"/>
    <w:tmpl w:val="F2F6725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2B355490"/>
    <w:multiLevelType w:val="hybridMultilevel"/>
    <w:tmpl w:val="D196F39E"/>
    <w:lvl w:ilvl="0" w:tplc="549095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BD94072"/>
    <w:multiLevelType w:val="hybridMultilevel"/>
    <w:tmpl w:val="3A90F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7FD6F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E32F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720B06"/>
    <w:multiLevelType w:val="hybridMultilevel"/>
    <w:tmpl w:val="55540E8A"/>
    <w:lvl w:ilvl="0" w:tplc="1D3033F2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51260DE"/>
    <w:multiLevelType w:val="multilevel"/>
    <w:tmpl w:val="E8745A2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>
    <w:nsid w:val="69291E32"/>
    <w:multiLevelType w:val="multilevel"/>
    <w:tmpl w:val="4D1207B6"/>
    <w:lvl w:ilvl="0">
      <w:start w:val="1"/>
      <w:numFmt w:val="decimal"/>
      <w:lvlText w:val="%1"/>
      <w:lvlJc w:val="left"/>
      <w:pPr>
        <w:ind w:left="1834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43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2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1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70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10">
    <w:nsid w:val="69372FC6"/>
    <w:multiLevelType w:val="hybridMultilevel"/>
    <w:tmpl w:val="E3A6D77C"/>
    <w:lvl w:ilvl="0" w:tplc="446C73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DD311DE"/>
    <w:multiLevelType w:val="hybridMultilevel"/>
    <w:tmpl w:val="5E2EA45E"/>
    <w:lvl w:ilvl="0" w:tplc="F66E7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C7611CB"/>
    <w:multiLevelType w:val="hybridMultilevel"/>
    <w:tmpl w:val="69901BAE"/>
    <w:lvl w:ilvl="0" w:tplc="1D3033F2">
      <w:start w:val="1"/>
      <w:numFmt w:val="decimal"/>
      <w:lvlText w:val="%1."/>
      <w:lvlJc w:val="left"/>
      <w:pPr>
        <w:ind w:left="177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savePreviewPicture/>
  <w:hdrShapeDefaults>
    <o:shapedefaults v:ext="edit" spidmax="3074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F43EF"/>
    <w:rsid w:val="00012A07"/>
    <w:rsid w:val="0005664A"/>
    <w:rsid w:val="00081020"/>
    <w:rsid w:val="000E2576"/>
    <w:rsid w:val="00166507"/>
    <w:rsid w:val="001E2673"/>
    <w:rsid w:val="00210A86"/>
    <w:rsid w:val="0021389A"/>
    <w:rsid w:val="002215BA"/>
    <w:rsid w:val="00261B92"/>
    <w:rsid w:val="00305FB4"/>
    <w:rsid w:val="00362D10"/>
    <w:rsid w:val="003917F4"/>
    <w:rsid w:val="00397025"/>
    <w:rsid w:val="00417FAE"/>
    <w:rsid w:val="004A4075"/>
    <w:rsid w:val="004B6B30"/>
    <w:rsid w:val="004C644B"/>
    <w:rsid w:val="004E128E"/>
    <w:rsid w:val="00503D72"/>
    <w:rsid w:val="005850FC"/>
    <w:rsid w:val="00585E6A"/>
    <w:rsid w:val="005A7D2D"/>
    <w:rsid w:val="005E34AF"/>
    <w:rsid w:val="00605589"/>
    <w:rsid w:val="00764F14"/>
    <w:rsid w:val="00770228"/>
    <w:rsid w:val="007B55A5"/>
    <w:rsid w:val="007B6F5D"/>
    <w:rsid w:val="007C1115"/>
    <w:rsid w:val="007F285B"/>
    <w:rsid w:val="00832E8C"/>
    <w:rsid w:val="0085044E"/>
    <w:rsid w:val="00876EFB"/>
    <w:rsid w:val="008E03D5"/>
    <w:rsid w:val="008F641A"/>
    <w:rsid w:val="00970791"/>
    <w:rsid w:val="00A66AB7"/>
    <w:rsid w:val="00A70F74"/>
    <w:rsid w:val="00A95E30"/>
    <w:rsid w:val="00AD2455"/>
    <w:rsid w:val="00B13F60"/>
    <w:rsid w:val="00B87212"/>
    <w:rsid w:val="00BA4EA3"/>
    <w:rsid w:val="00C24FC1"/>
    <w:rsid w:val="00C3540F"/>
    <w:rsid w:val="00C7324D"/>
    <w:rsid w:val="00CE6778"/>
    <w:rsid w:val="00D067B9"/>
    <w:rsid w:val="00D5608A"/>
    <w:rsid w:val="00D609C5"/>
    <w:rsid w:val="00D83F62"/>
    <w:rsid w:val="00DE56BB"/>
    <w:rsid w:val="00E91931"/>
    <w:rsid w:val="00EA260B"/>
    <w:rsid w:val="00EC3BFC"/>
    <w:rsid w:val="00F97937"/>
    <w:rsid w:val="00FA0402"/>
    <w:rsid w:val="00FF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BFC"/>
    <w:pPr>
      <w:spacing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43EF"/>
    <w:pPr>
      <w:keepNext/>
      <w:keepLines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F43EF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F43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21389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1389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2138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1389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21389A"/>
    <w:pPr>
      <w:ind w:left="720"/>
    </w:pPr>
  </w:style>
  <w:style w:type="paragraph" w:styleId="a9">
    <w:name w:val="Balloon Text"/>
    <w:basedOn w:val="a"/>
    <w:link w:val="aa"/>
    <w:uiPriority w:val="99"/>
    <w:semiHidden/>
    <w:unhideWhenUsed/>
    <w:rsid w:val="002138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389A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7B6F5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3970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58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3283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  <w:divsChild>
                                <w:div w:id="9873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765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Пороговая функция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Гистерезис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val>
            <c:numRef>
              <c:f>Лист1!$C$2:$C$22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0.2</c:v>
                </c:pt>
                <c:pt idx="12">
                  <c:v>0.4</c:v>
                </c:pt>
                <c:pt idx="13">
                  <c:v>0.60000000000000009</c:v>
                </c:pt>
                <c:pt idx="14">
                  <c:v>0.8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Логистическая функция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val>
            <c:numRef>
              <c:f>Лист1!$D$2:$D$22</c:f>
              <c:numCache>
                <c:formatCode>General</c:formatCode>
                <c:ptCount val="21"/>
                <c:pt idx="0">
                  <c:v>6.6928509242848563E-3</c:v>
                </c:pt>
                <c:pt idx="1">
                  <c:v>1.0986942630593178E-2</c:v>
                </c:pt>
                <c:pt idx="2">
                  <c:v>1.7986209962091559E-2</c:v>
                </c:pt>
                <c:pt idx="3">
                  <c:v>2.9312230751356319E-2</c:v>
                </c:pt>
                <c:pt idx="4">
                  <c:v>4.7425873177566781E-2</c:v>
                </c:pt>
                <c:pt idx="5">
                  <c:v>7.585818002124356E-2</c:v>
                </c:pt>
                <c:pt idx="6">
                  <c:v>0.11920292202211757</c:v>
                </c:pt>
                <c:pt idx="7">
                  <c:v>0.18242552380635638</c:v>
                </c:pt>
                <c:pt idx="8">
                  <c:v>0.26894142136999516</c:v>
                </c:pt>
                <c:pt idx="9">
                  <c:v>0.37754066879814546</c:v>
                </c:pt>
                <c:pt idx="10">
                  <c:v>0.5</c:v>
                </c:pt>
                <c:pt idx="11">
                  <c:v>0.6224593312018547</c:v>
                </c:pt>
                <c:pt idx="12">
                  <c:v>0.73105857863000501</c:v>
                </c:pt>
                <c:pt idx="13">
                  <c:v>0.81757447619364365</c:v>
                </c:pt>
                <c:pt idx="14">
                  <c:v>0.88079707797788243</c:v>
                </c:pt>
                <c:pt idx="15">
                  <c:v>0.92414181997875666</c:v>
                </c:pt>
                <c:pt idx="16">
                  <c:v>0.95257412682243336</c:v>
                </c:pt>
                <c:pt idx="17">
                  <c:v>0.97068776924864353</c:v>
                </c:pt>
                <c:pt idx="18">
                  <c:v>0.98201379003790823</c:v>
                </c:pt>
                <c:pt idx="19">
                  <c:v>0.98901305736940681</c:v>
                </c:pt>
                <c:pt idx="20">
                  <c:v>0.99330714907571516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Гиперболический тангенс</c:v>
                </c:pt>
              </c:strCache>
            </c:strRef>
          </c:tx>
          <c:marker>
            <c:symbol val="none"/>
          </c:marker>
          <c:val>
            <c:numRef>
              <c:f>Лист1!$E$2:$E$22</c:f>
              <c:numCache>
                <c:formatCode>General</c:formatCode>
                <c:ptCount val="21"/>
                <c:pt idx="0">
                  <c:v>-0.99990920426259522</c:v>
                </c:pt>
                <c:pt idx="1">
                  <c:v>-0.9997532108480276</c:v>
                </c:pt>
                <c:pt idx="2">
                  <c:v>-0.99932929973906703</c:v>
                </c:pt>
                <c:pt idx="3">
                  <c:v>-0.99817789761119891</c:v>
                </c:pt>
                <c:pt idx="4">
                  <c:v>-0.99505475368673069</c:v>
                </c:pt>
                <c:pt idx="5">
                  <c:v>-0.98661429815143042</c:v>
                </c:pt>
                <c:pt idx="6">
                  <c:v>-0.96402758007581679</c:v>
                </c:pt>
                <c:pt idx="7">
                  <c:v>-0.90514825364486673</c:v>
                </c:pt>
                <c:pt idx="8">
                  <c:v>-0.76159415595576474</c:v>
                </c:pt>
                <c:pt idx="9">
                  <c:v>-0.46211715726000979</c:v>
                </c:pt>
                <c:pt idx="10">
                  <c:v>0</c:v>
                </c:pt>
                <c:pt idx="11">
                  <c:v>0.46211715726000979</c:v>
                </c:pt>
                <c:pt idx="12">
                  <c:v>0.76159415595576474</c:v>
                </c:pt>
                <c:pt idx="13">
                  <c:v>0.90514825364486662</c:v>
                </c:pt>
                <c:pt idx="14">
                  <c:v>0.9640275800758169</c:v>
                </c:pt>
                <c:pt idx="15">
                  <c:v>0.98661429815143031</c:v>
                </c:pt>
                <c:pt idx="16">
                  <c:v>0.99505475368673058</c:v>
                </c:pt>
                <c:pt idx="17">
                  <c:v>0.99817789761119879</c:v>
                </c:pt>
                <c:pt idx="18">
                  <c:v>0.99932929973906692</c:v>
                </c:pt>
                <c:pt idx="19">
                  <c:v>0.9997532108480276</c:v>
                </c:pt>
                <c:pt idx="20">
                  <c:v>0.99990920426259522</c:v>
                </c:pt>
              </c:numCache>
            </c:numRef>
          </c:val>
        </c:ser>
        <c:marker val="1"/>
        <c:axId val="143300480"/>
        <c:axId val="149652224"/>
      </c:lineChart>
      <c:catAx>
        <c:axId val="143300480"/>
        <c:scaling>
          <c:orientation val="minMax"/>
        </c:scaling>
        <c:axPos val="b"/>
        <c:numFmt formatCode="General" sourceLinked="1"/>
        <c:tickLblPos val="nextTo"/>
        <c:crossAx val="149652224"/>
        <c:crossesAt val="0"/>
        <c:auto val="1"/>
        <c:lblAlgn val="ctr"/>
        <c:lblOffset val="100"/>
      </c:catAx>
      <c:valAx>
        <c:axId val="149652224"/>
        <c:scaling>
          <c:orientation val="minMax"/>
          <c:max val="1.2"/>
          <c:min val="-1.2"/>
        </c:scaling>
        <c:axPos val="l"/>
        <c:majorGridlines/>
        <c:numFmt formatCode="General" sourceLinked="1"/>
        <c:tickLblPos val="nextTo"/>
        <c:crossAx val="143300480"/>
        <c:crosses val="autoZero"/>
        <c:crossBetween val="between"/>
        <c:majorUnit val="0.2"/>
      </c:valAx>
      <c:spPr>
        <a:noFill/>
        <a:ln w="25400">
          <a:noFill/>
        </a:ln>
      </c:spPr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10</Pages>
  <Words>1732</Words>
  <Characters>9878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Основные положения</vt:lpstr>
      <vt:lpstr>Основные положения теории нейронных сетей</vt:lpstr>
      <vt:lpstr/>
      <vt:lpstr>1.1.1 Строение и основные принципы функционирования нервной системы</vt:lpstr>
      <vt:lpstr>Искусственный нейрон и искусственные нейронные сети</vt:lpstr>
      <vt:lpstr>Основные принципы обучения искусственных нейронных сетей</vt:lpstr>
      <vt:lpstr>1.2. Основные положения соревнований формата Code Game Challenge</vt:lpstr>
      <vt:lpstr>1.2.1 Краткое описание</vt:lpstr>
      <vt:lpstr>1.2.2 Общие правила</vt:lpstr>
    </vt:vector>
  </TitlesOfParts>
  <Company/>
  <LinksUpToDate>false</LinksUpToDate>
  <CharactersWithSpaces>11587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Fizz</dc:creator>
  <cp:lastModifiedBy>Fizz</cp:lastModifiedBy>
  <cp:revision>11</cp:revision>
  <dcterms:created xsi:type="dcterms:W3CDTF">2017-06-07T10:27:00Z</dcterms:created>
  <dcterms:modified xsi:type="dcterms:W3CDTF">2017-06-10T04:18:00Z</dcterms:modified>
</cp:coreProperties>
</file>