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B94A3"/>
          <w:sz w:val="20"/>
          <w:szCs w:val="20"/>
        </w:rPr>
        <w:t xml:space="preserve">VENTO MARKETPLACE</w:t>
      </w:r>
    </w:p>
    <w:p>
      <w:pPr>
        <w:pStyle w:val="Title"/>
        <w:spacing w:after="60"/>
      </w:pPr>
      <w:r>
        <w:t xml:space="preserve">Marketplace Performance &amp; Data Intelligence Review</w:t>
      </w:r>
    </w:p>
    <w:p>
      <w:pPr>
        <w:spacing w:after="40"/>
      </w:pPr>
      <w:r>
        <w:rPr>
          <w:i/>
          <w:iCs/>
          <w:color w:val="5B6472"/>
          <w:sz w:val="20"/>
          <w:szCs w:val="20"/>
        </w:rPr>
        <w:t xml:space="preserve">Prepared as an independent data &amp; analytics engagement  •  September 2026</w:t>
      </w:r>
    </w:p>
    <w:p>
      <w:pPr>
        <w:pBdr>
          <w:top w:val="single" w:color="DADFE5" w:sz="4"/>
          <w:bottom w:val="single" w:color="DADFE5" w:sz="4"/>
          <w:left w:val="single" w:color="DADFE5" w:sz="4"/>
          <w:right w:val="single" w:color="DADFE5" w:sz="4"/>
        </w:pBdr>
        <w:shd w:fill="F1F3F6" w:val="clear"/>
        <w:spacing w:after="320" w:before="160"/>
      </w:pPr>
      <w:r>
        <w:rPr>
          <w:i/>
          <w:iCs/>
          <w:color w:val="5B6472"/>
          <w:sz w:val="18"/>
          <w:szCs w:val="18"/>
        </w:rPr>
        <w:t xml:space="preserve">This is a simulated client engagement: order, payment, delivery, seller, product, and review data is real, anonymized commercial data released publicly by Olist. Vento Marketplace, its staff, and its business narrative are fictional. Marketing-spend figures in this report are clearly labeled synthetic. Prepared as an independent portfolio project, not for or on behalf of a real company.</w:t>
      </w:r>
    </w:p>
    <w:p>
      <w:pPr>
        <w:pStyle w:val="Heading1"/>
        <w:spacing w:after="120" w:before="320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Vento's order, delivery, payment, and review data — previously stitched together manually every Monday from six separate exports — was audited, cleaned, modeled, and loaded into a validated analytical database. Ten real data-quality issues were found and fixed (Phase 3–4); every fix was independently re-verified against the cleaned data rather than assumed. Twenty-five business questions were then answered directly from that data (Phase 8), and the five most decision-relevant findings are below, each traceable to a specific number rather than a general impression.</w:t>
      </w:r>
    </w:p>
    <w:p>
      <w:pPr>
        <w:spacing w:after="200"/>
      </w:pPr>
      <w:r>
        <w:rPr>
          <w:sz w:val="22"/>
          <w:szCs w:val="22"/>
        </w:rPr>
        <w:t xml:space="preserve">The single clearest, most actionable relationship in the entire analysis: orders delivered on time average a 4.30-star review; late orders average 2.56 — a 1.74-point gap. Delivery performance is the highest-leverage lever available to Vento's leadership, and this report identifies exactly where it is breaking down.</w:t>
      </w:r>
    </w:p>
    <w:p>
      <w:pPr>
        <w:pStyle w:val="Heading1"/>
        <w:spacing w:after="120" w:before="320"/>
      </w:pPr>
      <w:r>
        <w:t xml:space="preserve">At a Glance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5"/>
        <w:gridCol w:w="3675"/>
      </w:tblGrid>
      <w:tr>
        <w:trPr>
          <w:tblHeader/>
        </w:trPr>
        <w:tc>
          <w:tcPr>
            <w:tcW w:type="dxa" w:w="5675"/>
            <w:shd w:fill="14213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75"/>
            <w:shd w:fill="14213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675"/>
          </w:tcPr>
          <w:p>
            <w:r>
              <w:rPr>
                <w:sz w:val="18"/>
                <w:szCs w:val="18"/>
              </w:rPr>
              <w:t xml:space="preserve">Delivered-order revenue</w:t>
            </w:r>
          </w:p>
        </w:tc>
        <w:tc>
          <w:tcPr>
            <w:tcW w:type="dxa" w:w="3675"/>
          </w:tcPr>
          <w:p>
            <w:r>
              <w:rPr>
                <w:sz w:val="18"/>
                <w:szCs w:val="18"/>
              </w:rPr>
              <w:t xml:space="preserve">R$15,419,774</w:t>
            </w:r>
          </w:p>
        </w:tc>
      </w:tr>
      <w:tr>
        <w:tc>
          <w:tcPr>
            <w:tcW w:type="dxa" w:w="5675"/>
            <w:shd w:fill="EDEDED" w:val="clear"/>
          </w:tcPr>
          <w:p>
            <w:r>
              <w:rPr>
                <w:sz w:val="18"/>
                <w:szCs w:val="18"/>
              </w:rPr>
              <w:t xml:space="preserve">Revenue growth, 2018 vs 2017 (Feb–Jul, YoY)</w:t>
            </w:r>
          </w:p>
        </w:tc>
        <w:tc>
          <w:tcPr>
            <w:tcW w:type="dxa" w:w="3675"/>
            <w:shd w:fill="EDEDED" w:val="clear"/>
          </w:tcPr>
          <w:p>
            <w:r>
              <w:rPr>
                <w:sz w:val="18"/>
                <w:szCs w:val="18"/>
              </w:rPr>
              <w:t xml:space="preserve">+136.4%</w:t>
            </w:r>
          </w:p>
        </w:tc>
      </w:tr>
      <w:tr>
        <w:tc>
          <w:tcPr>
            <w:tcW w:type="dxa" w:w="5675"/>
          </w:tcPr>
          <w:p>
            <w:r>
              <w:rPr>
                <w:sz w:val="18"/>
                <w:szCs w:val="18"/>
              </w:rPr>
              <w:t xml:space="preserve">On-time delivery rate</w:t>
            </w:r>
          </w:p>
        </w:tc>
        <w:tc>
          <w:tcPr>
            <w:tcW w:type="dxa" w:w="3675"/>
          </w:tcPr>
          <w:p>
            <w:r>
              <w:rPr>
                <w:sz w:val="18"/>
                <w:szCs w:val="18"/>
              </w:rPr>
              <w:t xml:space="preserve">91.9%</w:t>
            </w:r>
          </w:p>
        </w:tc>
      </w:tr>
      <w:tr>
        <w:tc>
          <w:tcPr>
            <w:tcW w:type="dxa" w:w="5675"/>
            <w:shd w:fill="EDEDED" w:val="clear"/>
          </w:tcPr>
          <w:p>
            <w:r>
              <w:rPr>
                <w:sz w:val="18"/>
                <w:szCs w:val="18"/>
              </w:rPr>
              <w:t xml:space="preserve">Average order value</w:t>
            </w:r>
          </w:p>
        </w:tc>
        <w:tc>
          <w:tcPr>
            <w:tcW w:type="dxa" w:w="3675"/>
            <w:shd w:fill="EDEDED" w:val="clear"/>
          </w:tcPr>
          <w:p>
            <w:r>
              <w:rPr>
                <w:sz w:val="18"/>
                <w:szCs w:val="18"/>
              </w:rPr>
              <w:t xml:space="preserve">R$159.83</w:t>
            </w:r>
          </w:p>
        </w:tc>
      </w:tr>
      <w:tr>
        <w:tc>
          <w:tcPr>
            <w:tcW w:type="dxa" w:w="5675"/>
          </w:tcPr>
          <w:p>
            <w:r>
              <w:rPr>
                <w:sz w:val="18"/>
                <w:szCs w:val="18"/>
              </w:rPr>
              <w:t xml:space="preserve">Revenue from repeat customers</w:t>
            </w:r>
          </w:p>
        </w:tc>
        <w:tc>
          <w:tcPr>
            <w:tcW w:type="dxa" w:w="3675"/>
          </w:tcPr>
          <w:p>
            <w:r>
              <w:rPr>
                <w:sz w:val="18"/>
                <w:szCs w:val="18"/>
              </w:rPr>
              <w:t xml:space="preserve">5.6%</w:t>
            </w:r>
          </w:p>
        </w:tc>
      </w:tr>
    </w:tbl>
    <w:p>
      <w:pPr>
        <w:pStyle w:val="Heading1"/>
        <w:spacing w:after="120" w:before="320"/>
      </w:pPr>
      <w:r>
        <w:t xml:space="preserve">Key Findings &amp; Recommendations</w:t>
      </w:r>
    </w:p>
    <w:p>
      <w:pPr>
        <w:pBdr>
          <w:top w:val="single" w:color="DADFE5" w:sz="6" w:space="8"/>
        </w:pBdr>
        <w:spacing w:after="100" w:before="240"/>
      </w:pPr>
      <w:r>
        <w:rPr>
          <w:b/>
          <w:bCs/>
          <w:color w:val="14213D"/>
          <w:sz w:val="24"/>
          <w:szCs w:val="24"/>
        </w:rPr>
        <w:t xml:space="preserve">1. Delivery timeliness is the strongest driver of customer satisfaction found in the data</w:t>
      </w:r>
      <w:r>
        <w:t xml:space="preserve">   </w:t>
      </w:r>
      <w:r>
        <w:rPr>
          <w:b/>
          <w:bCs/>
          <w:color w:val="C1440E"/>
          <w:sz w:val="18"/>
          <w:szCs w:val="18"/>
        </w:rPr>
        <w:t xml:space="preserve">[High priority]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Finding: </w:t>
      </w:r>
      <w:r>
        <w:rPr>
          <w:sz w:val="21"/>
          <w:szCs w:val="21"/>
        </w:rPr>
        <w:t xml:space="preserve">Late deliveries are associated with sharply lower review scores.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On-time orders average a 4.30-star review; late orders average 2.56 — a 1.74-point gap, the largest relationship found anywhere in the analysis.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Implication: </w:t>
      </w:r>
      <w:r>
        <w:rPr>
          <w:sz w:val="21"/>
          <w:szCs w:val="21"/>
        </w:rPr>
        <w:t xml:space="preserve">Every percentage point shaved off the current 8.1% late-delivery rate has a direct, measurable effect on customer satisfaction — this is not a soft correlation, it's the biggest lever in the dataset.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Treat on-time delivery rate as the primary operational KPI, tracked weekly on the Executive dashboard, ahead of revenue growth alone.</w:t>
      </w:r>
    </w:p>
    <w:p>
      <w:pPr>
        <w:pBdr>
          <w:top w:val="single" w:color="DADFE5" w:sz="6" w:space="8"/>
        </w:pBdr>
        <w:spacing w:after="100" w:before="240"/>
      </w:pPr>
      <w:r>
        <w:rPr>
          <w:b/>
          <w:bCs/>
          <w:color w:val="14213D"/>
          <w:sz w:val="24"/>
          <w:szCs w:val="24"/>
        </w:rPr>
        <w:t xml:space="preserve">2. Delivery delays are concentrated in specific, identifiable sellers — not spread evenly</w:t>
      </w:r>
      <w:r>
        <w:t xml:space="preserve">   </w:t>
      </w:r>
      <w:r>
        <w:rPr>
          <w:b/>
          <w:bCs/>
          <w:color w:val="C1440E"/>
          <w:sz w:val="18"/>
          <w:szCs w:val="18"/>
        </w:rPr>
        <w:t xml:space="preserve">[High priority]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Finding: </w:t>
      </w:r>
      <w:r>
        <w:rPr>
          <w:sz w:val="21"/>
          <w:szCs w:val="21"/>
        </w:rPr>
        <w:t xml:space="preserve">A small group of sellers combine high late-delivery rates with low review scores.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The single highest-risk seller (26 orders) has an 88.5% late-delivery rate and a 2.57 average review score; seven more sellers show late rates of 21.7%–50% with review scores as low as 1.72. This is distinct from Vento's highest-volume sellers, whose late rates are close to the marketplace average.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Implication: </w:t>
      </w:r>
      <w:r>
        <w:rPr>
          <w:sz w:val="21"/>
          <w:szCs w:val="21"/>
        </w:rPr>
        <w:t xml:space="preserve">Blaming or coaching high-volume sellers would target the wrong group. The real risk concentration is a short, specific list.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Open a performance-improvement conversation with the 8 flagged sellers (full list in the technical appendix); consider a probation policy for repeat offenders.</w:t>
      </w:r>
    </w:p>
    <w:p>
      <w:pPr>
        <w:pBdr>
          <w:top w:val="single" w:color="DADFE5" w:sz="6" w:space="8"/>
        </w:pBdr>
        <w:spacing w:after="100" w:before="240"/>
      </w:pPr>
      <w:r>
        <w:rPr>
          <w:b/>
          <w:bCs/>
          <w:color w:val="14213D"/>
          <w:sz w:val="24"/>
          <w:szCs w:val="24"/>
        </w:rPr>
        <w:t xml:space="preserve">3. The worst-served regions are also among the highest-value — this is a growth risk, not a low-priority corner</w:t>
      </w:r>
      <w:r>
        <w:t xml:space="preserve">   </w:t>
      </w:r>
      <w:r>
        <w:rPr>
          <w:b/>
          <w:bCs/>
          <w:color w:val="8A6A00"/>
          <w:sz w:val="18"/>
          <w:szCs w:val="18"/>
        </w:rPr>
        <w:t xml:space="preserve">[Medium priority]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Finding: </w:t>
      </w:r>
      <w:r>
        <w:rPr>
          <w:sz w:val="21"/>
          <w:szCs w:val="21"/>
        </w:rPr>
        <w:t xml:space="preserve">Northeastern states show both the weakest delivery performance and some of the highest customer lifetime value.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Alagoas (23.9% late), Maranhão (19.7%), and Piauí (16.0%) are roughly double the 8.1% national late rate — and Paraíba, Rondônia, and Piauí simultaneously rank among the top states by average customer lifetime value (up to R$274).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Implication: </w:t>
      </w:r>
      <w:r>
        <w:rPr>
          <w:sz w:val="21"/>
          <w:szCs w:val="21"/>
        </w:rPr>
        <w:t xml:space="preserve">These are not low-value customers who can be safely deprioritized — poor delivery performance here puts above-average-value relationships at risk.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Commission a regional logistics/carrier review for the Northeast rather than a seller-side fix; the bottleneck is likely last-mile carrier coverage, not the sellers shipping there.</w:t>
      </w:r>
    </w:p>
    <w:p>
      <w:pPr>
        <w:pBdr>
          <w:top w:val="single" w:color="DADFE5" w:sz="6" w:space="8"/>
        </w:pBdr>
        <w:spacing w:after="100" w:before="240"/>
      </w:pPr>
      <w:r>
        <w:rPr>
          <w:b/>
          <w:bCs/>
          <w:color w:val="14213D"/>
          <w:sz w:val="24"/>
          <w:szCs w:val="24"/>
        </w:rPr>
        <w:t xml:space="preserve">4. Revenue growth is real and substantial — a flat-looking monthly chart was misleading</w:t>
      </w:r>
      <w:r>
        <w:t xml:space="preserve">   </w:t>
      </w:r>
      <w:r>
        <w:rPr>
          <w:b/>
          <w:bCs/>
          <w:color w:val="8A6A00"/>
          <w:sz w:val="18"/>
          <w:szCs w:val="18"/>
        </w:rPr>
        <w:t xml:space="preserve">[Medium priority]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Finding: </w:t>
      </w:r>
      <w:r>
        <w:rPr>
          <w:sz w:val="21"/>
          <w:szCs w:val="21"/>
        </w:rPr>
        <w:t xml:space="preserve">Year-over-year revenue is up sharply, even though month-over-month 2018 looks flat.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The same 6-month window (Feb–Jul) grew from R$2,679,506 in 2017 to R$6,335,437 in 2018 — a 136.4% increase — despite 2018's monthly figures oscillating narrowly around R$1M rather than climbing further.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Implication: </w:t>
      </w:r>
      <w:r>
        <w:rPr>
          <w:sz w:val="21"/>
          <w:szCs w:val="21"/>
        </w:rPr>
        <w:t xml:space="preserve">A leadership team looking only at recent months could incorrectly conclude growth has stalled. The right comparison is year-over-year, not month-over-month, at Vento's stage.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Report growth on both a monthly and a year-over-year basis on the Executive dashboard, to avoid this exact misreading recurring.</w:t>
      </w:r>
    </w:p>
    <w:p>
      <w:pPr>
        <w:pBdr>
          <w:top w:val="single" w:color="DADFE5" w:sz="6" w:space="8"/>
        </w:pBdr>
        <w:spacing w:after="100" w:before="240"/>
      </w:pPr>
      <w:r>
        <w:rPr>
          <w:b/>
          <w:bCs/>
          <w:color w:val="14213D"/>
          <w:sz w:val="24"/>
          <w:szCs w:val="24"/>
        </w:rPr>
        <w:t xml:space="preserve">5. Last-mile carrier transit, not seller fulfillment, is where delivery time is actually lost</w:t>
      </w:r>
      <w:r>
        <w:t xml:space="preserve">   </w:t>
      </w:r>
      <w:r>
        <w:rPr>
          <w:b/>
          <w:bCs/>
          <w:color w:val="8A6A00"/>
          <w:sz w:val="18"/>
          <w:szCs w:val="18"/>
        </w:rPr>
        <w:t xml:space="preserve">[Medium priority]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Finding: </w:t>
      </w:r>
      <w:r>
        <w:rPr>
          <w:sz w:val="21"/>
          <w:szCs w:val="21"/>
        </w:rPr>
        <w:t xml:space="preserve">The seller-to-carrier handoff is fast; the carrier-to-customer leg is not.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Evidence: </w:t>
      </w:r>
      <w:r>
        <w:rPr>
          <w:sz w:val="21"/>
          <w:szCs w:val="21"/>
        </w:rPr>
        <w:t xml:space="preserve">Sellers hand off to the carrier in 2.8 days on average; the carrier then takes 9.33 days to reach the customer — over 3x as long as the seller-controlled portion of the journey.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Implication: </w:t>
      </w:r>
      <w:r>
        <w:rPr>
          <w:sz w:val="21"/>
          <w:szCs w:val="21"/>
        </w:rPr>
        <w:t xml:space="preserve">Delivery-time initiatives aimed at sellers will have limited effect. The leverage is in carrier/logistics-partner performance, a different conversation with a different counterparty.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Prioritize a logistics-partner performance review over seller-side delivery-time pressure.</w:t>
      </w:r>
    </w:p>
    <w:p>
      <w:pPr>
        <w:pStyle w:val="Heading1"/>
        <w:spacing w:after="120" w:before="320"/>
      </w:pPr>
      <w:r>
        <w:t xml:space="preserve">What's Now Automated</w:t>
      </w:r>
    </w:p>
    <w:p>
      <w:pPr>
        <w:spacing w:after="200"/>
      </w:pPr>
      <w:r>
        <w:rPr>
          <w:sz w:val="22"/>
          <w:szCs w:val="22"/>
        </w:rPr>
        <w:t xml:space="preserve">A single command (“run_pipeline.py”) now replaces the manual Monday routine: it re-ingests the six source exports, applies all ten cleaning treatments, rebuilds the analytical tables, reloads the database, runs a 9-point data-quality gate, and refreshes every number on the dashboard — measured at 118 seconds end-to-end, with a hard stop if the data-quality gate fails, so a bad run never overwrites the dashboard with wrong numbers. An AI-generated weekly narrative summary is available as an optional final step, built to read only pre-validated KPI figures and cross-checked automatically against them before anyone sees it.</w:t>
      </w:r>
    </w:p>
    <w:p>
      <w:pPr>
        <w:pStyle w:val="Heading1"/>
        <w:spacing w:after="120" w:before="320"/>
      </w:pPr>
      <w:r>
        <w:t xml:space="preserve">Dashboard</w:t>
      </w:r>
    </w:p>
    <w:p>
      <w:pPr>
        <w:spacing w:after="200"/>
      </w:pPr>
      <w:r>
        <w:rPr>
          <w:sz w:val="22"/>
          <w:szCs w:val="22"/>
        </w:rPr>
        <w:t xml:space="preserve">An interactive dashboard (Executive Overview, Sales &amp; Customers, Delivery &amp; Sellers, Payments &amp; Risk) accompanies this report as a separate file — every chart and number in it is generated by the same pipeline described above, not compiled separately by hand.</w:t>
      </w:r>
    </w:p>
    <w:p>
      <w:pPr>
        <w:pStyle w:val="Heading1"/>
        <w:spacing w:after="120" w:before="320"/>
      </w:pPr>
      <w:r>
        <w:t xml:space="preserve">Technical Appendix (separately delivered)</w:t>
      </w:r>
    </w:p>
    <w:p>
      <w:pPr>
        <w:spacing w:after="200"/>
      </w:pPr>
      <w:r>
        <w:rPr>
          <w:sz w:val="22"/>
          <w:szCs w:val="22"/>
        </w:rPr>
        <w:t xml:space="preserve">Full technical documentation for every stage of this engagement is provided as standalone reports: data audit and findings (Phase 3), cleaning verification (Phase 4), transformation logic (Phase 5), database schema (Phase 6), exploratory analysis (Phase 7), all 25 business-question queries and results (Phase 8), the dashboard itself (Phase 9), automation and scheduling (Phase 10), the AI-summary validation harness (Phase 11), and the formal data-quality gate (Phase 12). All source code, SQL, and the cleaned dataset are included.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2026-09-15T05:44:10.101Z</dcterms:created>
  <dcterms:modified xsi:type="dcterms:W3CDTF">2026-09-15T05:44:10.111Z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