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Phase 3 — Data Audit: Findings</w:t>
      </w:r>
    </w:p>
    <w:p>
      <w:pPr>
        <w:spacing w:after="240"/>
      </w:pPr>
      <w:r>
        <w:t xml:space="preserve">Vento Marketplace Intelligence Project — Portfolio Case Study</w:t>
      </w:r>
    </w:p>
    <w:p>
      <w:pPr>
        <w:spacing w:after="300"/>
      </w:pPr>
      <w:r>
        <w:rPr>
          <w:i/>
          <w:iCs/>
          <w:sz w:val="20"/>
          <w:szCs w:val="20"/>
        </w:rPr>
        <w:t xml:space="preserve">Source: src/validation/data_quality_audit.py, run against the raw tables in data/raw/. All figures below are from the real Olist dataset (verified: 99,441 orders / 99,441 customers / 112,650 order items / 103,886 payments / 99,224 reviews / 32,951 products / 3,095 sellers / 1,000,163 geolocation rows), plus the synthetic marketing-spend table.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"/>
        <w:gridCol w:w="1000"/>
        <w:gridCol w:w="900"/>
        <w:gridCol w:w="2100"/>
        <w:gridCol w:w="2500"/>
        <w:gridCol w:w="2500"/>
      </w:tblGrid>
      <w:tr>
        <w:trPr>
          <w:tblHeader/>
        </w:trPr>
        <w:tc>
          <w:tcPr>
            <w:tcW w:type="dxa" w:w="35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0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Problem</w:t>
            </w:r>
          </w:p>
        </w:tc>
        <w:tc>
          <w:tcPr>
            <w:tcW w:type="dxa" w:w="9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21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  <w:tc>
          <w:tcPr>
            <w:tcW w:type="dxa" w:w="25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Business Impact</w:t>
            </w:r>
          </w:p>
        </w:tc>
        <w:tc>
          <w:tcPr>
            <w:tcW w:type="dxa" w:w="25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Planned Treatment</w:t>
            </w:r>
          </w:p>
        </w:tc>
      </w:tr>
      <w:tr>
        <w:tc>
          <w:tcPr>
            <w:tcW w:type="dxa" w:w="350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</w:tcPr>
          <w:p>
            <w:r>
              <w:rPr>
                <w:sz w:val="18"/>
                <w:szCs w:val="18"/>
              </w:rPr>
              <w:t xml:space="preserve">Missing delivery timestamps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orders</w:t>
            </w:r>
          </w:p>
        </w:tc>
        <w:tc>
          <w:tcPr>
            <w:tcW w:type="dxa" w:w="2100"/>
          </w:tcPr>
          <w:p>
            <w:r>
              <w:rPr>
                <w:sz w:val="18"/>
                <w:szCs w:val="18"/>
              </w:rPr>
              <w:t xml:space="preserve">1,783 orders missing order_delivered_carrier_date; 2,965 missing order_delivered_customer_date; 8 orders marked “delivered” with no delivery date at all</w:t>
            </w:r>
          </w:p>
        </w:tc>
        <w:tc>
          <w:tcPr>
            <w:tcW w:type="dxa" w:w="2500"/>
          </w:tcPr>
          <w:p>
            <w:r>
              <w:rPr>
                <w:sz w:val="18"/>
                <w:szCs w:val="18"/>
              </w:rPr>
              <w:t xml:space="preserve">Delivery-time KPIs (avg. days to deliver, on-time %) will silently under- or over-count if these rows aren't handled explicitly</w:t>
            </w:r>
          </w:p>
        </w:tc>
        <w:tc>
          <w:tcPr>
            <w:tcW w:type="dxa" w:w="2500"/>
          </w:tcPr>
          <w:p>
            <w:r>
              <w:rPr>
                <w:sz w:val="18"/>
                <w:szCs w:val="18"/>
              </w:rPr>
              <w:t xml:space="preserve">Exclude from delivery-time averages where the date is null; flag the 8 “delivered but no date” rows separately as a data-integrity exception, don't drop them</w:t>
            </w:r>
          </w:p>
        </w:tc>
      </w:tr>
      <w:tr>
        <w:tc>
          <w:tcPr>
            <w:tcW w:type="dxa" w:w="350"/>
            <w:shd w:fill="EDEDED" w:val="clea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shd w:fill="EDEDED" w:val="clear"/>
          </w:tcPr>
          <w:p>
            <w:r>
              <w:rPr>
                <w:sz w:val="18"/>
                <w:szCs w:val="18"/>
              </w:rPr>
              <w:t xml:space="preserve">customer_id vs customer_unique_id split</w:t>
            </w:r>
          </w:p>
        </w:tc>
        <w:tc>
          <w:tcPr>
            <w:tcW w:type="dxa" w:w="900"/>
            <w:shd w:fill="EDEDED" w:val="clear"/>
          </w:tcPr>
          <w:p>
            <w:r>
              <w:rPr>
                <w:sz w:val="18"/>
                <w:szCs w:val="18"/>
              </w:rPr>
              <w:t xml:space="preserve">customers</w:t>
            </w:r>
          </w:p>
        </w:tc>
        <w:tc>
          <w:tcPr>
            <w:tcW w:type="dxa" w:w="2100"/>
            <w:shd w:fill="EDEDED" w:val="clear"/>
          </w:tcPr>
          <w:p>
            <w:r>
              <w:rPr>
                <w:sz w:val="18"/>
                <w:szCs w:val="18"/>
              </w:rPr>
              <w:t xml:space="preserve">99,441 unique customer_id vs only 96,096 unique customer_unique_id</w:t>
            </w:r>
          </w:p>
        </w:tc>
        <w:tc>
          <w:tcPr>
            <w:tcW w:type="dxa" w:w="2500"/>
            <w:shd w:fill="EDEDED" w:val="clear"/>
          </w:tcPr>
          <w:p>
            <w:r>
              <w:rPr>
                <w:sz w:val="18"/>
                <w:szCs w:val="18"/>
              </w:rPr>
              <w:t xml:space="preserve">A naïve “unique customers” count overstates the customer base by ~3.4% and hides repeat purchasers — Olist assigns a new customer_id per order</w:t>
            </w:r>
          </w:p>
        </w:tc>
        <w:tc>
          <w:tcPr>
            <w:tcW w:type="dxa" w:w="2500"/>
            <w:shd w:fill="EDEDED" w:val="clear"/>
          </w:tcPr>
          <w:p>
            <w:r>
              <w:rPr>
                <w:sz w:val="18"/>
                <w:szCs w:val="18"/>
              </w:rPr>
              <w:t xml:space="preserve">Always use customer_unique_id for anything about customer counts, repeat-purchase rate, or retention</w:t>
            </w:r>
          </w:p>
        </w:tc>
      </w:tr>
      <w:tr>
        <w:tc>
          <w:tcPr>
            <w:tcW w:type="dxa" w:w="350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</w:tcPr>
          <w:p>
            <w:r>
              <w:rPr>
                <w:sz w:val="18"/>
                <w:szCs w:val="18"/>
              </w:rPr>
              <w:t xml:space="preserve">Duplicate review records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order_reviews</w:t>
            </w:r>
          </w:p>
        </w:tc>
        <w:tc>
          <w:tcPr>
            <w:tcW w:type="dxa" w:w="2100"/>
          </w:tcPr>
          <w:p>
            <w:r>
              <w:rPr>
                <w:sz w:val="18"/>
                <w:szCs w:val="18"/>
              </w:rPr>
              <w:t xml:space="preserve">814 duplicate review_id rows; 551 orders have more than one review row attached</w:t>
            </w:r>
          </w:p>
        </w:tc>
        <w:tc>
          <w:tcPr>
            <w:tcW w:type="dxa" w:w="2500"/>
          </w:tcPr>
          <w:p>
            <w:r>
              <w:rPr>
                <w:sz w:val="18"/>
                <w:szCs w:val="18"/>
              </w:rPr>
              <w:t xml:space="preserve">Review-score KPIs (avg. rating, NPS-style metrics) can double-count the same order's feedback</w:t>
            </w:r>
          </w:p>
        </w:tc>
        <w:tc>
          <w:tcPr>
            <w:tcW w:type="dxa" w:w="2500"/>
          </w:tcPr>
          <w:p>
            <w:r>
              <w:rPr>
                <w:sz w:val="18"/>
                <w:szCs w:val="18"/>
              </w:rPr>
              <w:t xml:space="preserve">Deduplicate on review_id; for orders with multiple distinct reviews, keep the most recent by review_creation_date</w:t>
            </w:r>
          </w:p>
        </w:tc>
      </w:tr>
      <w:tr>
        <w:tc>
          <w:tcPr>
            <w:tcW w:type="dxa" w:w="350"/>
            <w:shd w:fill="EDEDED" w:val="clear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shd w:fill="EDEDED" w:val="clear"/>
          </w:tcPr>
          <w:p>
            <w:r>
              <w:rPr>
                <w:sz w:val="18"/>
                <w:szCs w:val="18"/>
              </w:rPr>
              <w:t xml:space="preserve">Missing product attributes</w:t>
            </w:r>
          </w:p>
        </w:tc>
        <w:tc>
          <w:tcPr>
            <w:tcW w:type="dxa" w:w="900"/>
            <w:shd w:fill="EDEDED" w:val="clear"/>
          </w:tcPr>
          <w:p>
            <w:r>
              <w:rPr>
                <w:sz w:val="18"/>
                <w:szCs w:val="18"/>
              </w:rPr>
              <w:t xml:space="preserve">products</w:t>
            </w:r>
          </w:p>
        </w:tc>
        <w:tc>
          <w:tcPr>
            <w:tcW w:type="dxa" w:w="2100"/>
            <w:shd w:fill="EDEDED" w:val="clear"/>
          </w:tcPr>
          <w:p>
            <w:r>
              <w:rPr>
                <w:sz w:val="18"/>
                <w:szCs w:val="18"/>
              </w:rPr>
              <w:t xml:space="preserve">610 products missing product_category_name and related size/photo fields; 2 products missing all physical dimensions</w:t>
            </w:r>
          </w:p>
        </w:tc>
        <w:tc>
          <w:tcPr>
            <w:tcW w:type="dxa" w:w="2500"/>
            <w:shd w:fill="EDEDED" w:val="clear"/>
          </w:tcPr>
          <w:p>
            <w:r>
              <w:rPr>
                <w:sz w:val="18"/>
                <w:szCs w:val="18"/>
              </w:rPr>
              <w:t xml:space="preserve">Category-level and logistics-cost analysis will silently exclude these products unless labeled</w:t>
            </w:r>
          </w:p>
        </w:tc>
        <w:tc>
          <w:tcPr>
            <w:tcW w:type="dxa" w:w="2500"/>
            <w:shd w:fill="EDEDED" w:val="clear"/>
          </w:tcPr>
          <w:p>
            <w:r>
              <w:rPr>
                <w:sz w:val="18"/>
                <w:szCs w:val="18"/>
              </w:rPr>
              <w:t xml:space="preserve">Tag as category = “uncategorized” rather than dropping — dropping would understate total product/order volume</w:t>
            </w:r>
          </w:p>
        </w:tc>
      </w:tr>
      <w:tr>
        <w:tc>
          <w:tcPr>
            <w:tcW w:type="dxa" w:w="350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</w:tcPr>
          <w:p>
            <w:r>
              <w:rPr>
                <w:sz w:val="18"/>
                <w:szCs w:val="18"/>
              </w:rPr>
              <w:t xml:space="preserve">Untranslated category names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products + category_translation</w:t>
            </w:r>
          </w:p>
        </w:tc>
        <w:tc>
          <w:tcPr>
            <w:tcW w:type="dxa" w:w="2100"/>
          </w:tcPr>
          <w:p>
            <w:r>
              <w:rPr>
                <w:sz w:val="18"/>
                <w:szCs w:val="18"/>
              </w:rPr>
              <w:t xml:space="preserve">pc_gamer and portateis_cozinha_e_preparadores_de_alimentos have no English match in the translation table</w:t>
            </w:r>
          </w:p>
        </w:tc>
        <w:tc>
          <w:tcPr>
            <w:tcW w:type="dxa" w:w="2500"/>
          </w:tcPr>
          <w:p>
            <w:r>
              <w:rPr>
                <w:sz w:val="18"/>
                <w:szCs w:val="18"/>
              </w:rPr>
              <w:t xml:space="preserve">Category-performance reporting would either error out or silently show blank category names for these products</w:t>
            </w:r>
          </w:p>
        </w:tc>
        <w:tc>
          <w:tcPr>
            <w:tcW w:type="dxa" w:w="2500"/>
          </w:tcPr>
          <w:p>
            <w:r>
              <w:rPr>
                <w:sz w:val="18"/>
                <w:szCs w:val="18"/>
              </w:rPr>
              <w:t xml:space="preserve">Manually map these 2 categories to sensible English labels rather than relying only on the provided translation file</w:t>
            </w:r>
          </w:p>
        </w:tc>
      </w:tr>
      <w:tr>
        <w:tc>
          <w:tcPr>
            <w:tcW w:type="dxa" w:w="350"/>
            <w:shd w:fill="EDEDED" w:val="clear"/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shd w:fill="EDEDED" w:val="clear"/>
          </w:tcPr>
          <w:p>
            <w:r>
              <w:rPr>
                <w:sz w:val="18"/>
                <w:szCs w:val="18"/>
              </w:rPr>
              <w:t xml:space="preserve">Late deliveries (real business signal, not an error)</w:t>
            </w:r>
          </w:p>
        </w:tc>
        <w:tc>
          <w:tcPr>
            <w:tcW w:type="dxa" w:w="900"/>
            <w:shd w:fill="EDEDED" w:val="clear"/>
          </w:tcPr>
          <w:p>
            <w:r>
              <w:rPr>
                <w:sz w:val="18"/>
                <w:szCs w:val="18"/>
              </w:rPr>
              <w:t xml:space="preserve">orders</w:t>
            </w:r>
          </w:p>
        </w:tc>
        <w:tc>
          <w:tcPr>
            <w:tcW w:type="dxa" w:w="2100"/>
            <w:shd w:fill="EDEDED" w:val="clear"/>
          </w:tcPr>
          <w:p>
            <w:r>
              <w:rPr>
                <w:sz w:val="18"/>
                <w:szCs w:val="18"/>
              </w:rPr>
              <w:t xml:space="preserve">7,826 of 96,478 delivered orders (8.1%) arrived after order_estimated_delivery_date</w:t>
            </w:r>
          </w:p>
        </w:tc>
        <w:tc>
          <w:tcPr>
            <w:tcW w:type="dxa" w:w="2500"/>
            <w:shd w:fill="EDEDED" w:val="clear"/>
          </w:tcPr>
          <w:p>
            <w:r>
              <w:rPr>
                <w:sz w:val="18"/>
                <w:szCs w:val="18"/>
              </w:rPr>
              <w:t xml:space="preserve">This is a genuine operational finding — feeds directly into the seller/delivery-risk analysis in Phase 8</w:t>
            </w:r>
          </w:p>
        </w:tc>
        <w:tc>
          <w:tcPr>
            <w:tcW w:type="dxa" w:w="2500"/>
            <w:shd w:fill="EDEDED" w:val="clear"/>
          </w:tcPr>
          <w:p>
            <w:r>
              <w:rPr>
                <w:sz w:val="18"/>
                <w:szCs w:val="18"/>
              </w:rPr>
              <w:t xml:space="preserve">Not “fixed” — carried forward as a first-class KPI and a seller-risk input</w:t>
            </w:r>
          </w:p>
        </w:tc>
      </w:tr>
      <w:tr>
        <w:tc>
          <w:tcPr>
            <w:tcW w:type="dxa" w:w="350"/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</w:tcPr>
          <w:p>
            <w:r>
              <w:rPr>
                <w:sz w:val="18"/>
                <w:szCs w:val="18"/>
              </w:rPr>
              <w:t xml:space="preserve">Payment total vs. order total mismatches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order_payments vs order_items</w:t>
            </w:r>
          </w:p>
        </w:tc>
        <w:tc>
          <w:tcPr>
            <w:tcW w:type="dxa" w:w="2100"/>
          </w:tcPr>
          <w:p>
            <w:r>
              <w:rPr>
                <w:sz w:val="18"/>
                <w:szCs w:val="18"/>
              </w:rPr>
              <w:t xml:space="preserve">255 of 98,665 orders (0.26%) have a payment total that differs from item price + freight by more than R$0.50</w:t>
            </w:r>
          </w:p>
        </w:tc>
        <w:tc>
          <w:tcPr>
            <w:tcW w:type="dxa" w:w="2500"/>
          </w:tcPr>
          <w:p>
            <w:r>
              <w:rPr>
                <w:sz w:val="18"/>
                <w:szCs w:val="18"/>
              </w:rPr>
              <w:t xml:space="preserve">A “revenue” figure built naively from either table alone will be slightly wrong, and a reconciliation audit would fail silently</w:t>
            </w:r>
          </w:p>
        </w:tc>
        <w:tc>
          <w:tcPr>
            <w:tcW w:type="dxa" w:w="2500"/>
          </w:tcPr>
          <w:p>
            <w:r>
              <w:rPr>
                <w:sz w:val="18"/>
                <w:szCs w:val="18"/>
              </w:rPr>
              <w:t xml:space="preserve">Flag these orders in a payment_reconciliation_flag column rather than silently trusting either total</w:t>
            </w:r>
          </w:p>
        </w:tc>
      </w:tr>
      <w:tr>
        <w:tc>
          <w:tcPr>
            <w:tcW w:type="dxa" w:w="350"/>
            <w:shd w:fill="EDEDED" w:val="clear"/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shd w:fill="EDEDED" w:val="clear"/>
          </w:tcPr>
          <w:p>
            <w:r>
              <w:rPr>
                <w:sz w:val="18"/>
                <w:szCs w:val="18"/>
              </w:rPr>
              <w:t xml:space="preserve">Zero-value / zero-installment payment rows</w:t>
            </w:r>
          </w:p>
        </w:tc>
        <w:tc>
          <w:tcPr>
            <w:tcW w:type="dxa" w:w="900"/>
            <w:shd w:fill="EDEDED" w:val="clear"/>
          </w:tcPr>
          <w:p>
            <w:r>
              <w:rPr>
                <w:sz w:val="18"/>
                <w:szCs w:val="18"/>
              </w:rPr>
              <w:t xml:space="preserve">order_payments</w:t>
            </w:r>
          </w:p>
        </w:tc>
        <w:tc>
          <w:tcPr>
            <w:tcW w:type="dxa" w:w="2100"/>
            <w:shd w:fill="EDEDED" w:val="clear"/>
          </w:tcPr>
          <w:p>
            <w:r>
              <w:rPr>
                <w:sz w:val="18"/>
                <w:szCs w:val="18"/>
              </w:rPr>
              <w:t xml:space="preserve">9 rows with payment_value = 0; 2 rows with payment_installments = 0</w:t>
            </w:r>
          </w:p>
        </w:tc>
        <w:tc>
          <w:tcPr>
            <w:tcW w:type="dxa" w:w="2500"/>
            <w:shd w:fill="EDEDED" w:val="clear"/>
          </w:tcPr>
          <w:p>
            <w:r>
              <w:rPr>
                <w:sz w:val="18"/>
                <w:szCs w:val="18"/>
              </w:rPr>
              <w:t xml:space="preserve">Could distort average order value and installment-behavior analysis if not isolated</w:t>
            </w:r>
          </w:p>
        </w:tc>
        <w:tc>
          <w:tcPr>
            <w:tcW w:type="dxa" w:w="2500"/>
            <w:shd w:fill="EDEDED" w:val="clear"/>
          </w:tcPr>
          <w:p>
            <w:r>
              <w:rPr>
                <w:sz w:val="18"/>
                <w:szCs w:val="18"/>
              </w:rPr>
              <w:t xml:space="preserve">Keep the rows but exclude from average-value and installment-mix calculations; note in the data-quality report</w:t>
            </w:r>
          </w:p>
        </w:tc>
      </w:tr>
      <w:tr>
        <w:tc>
          <w:tcPr>
            <w:tcW w:type="dxa" w:w="350"/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000"/>
          </w:tcPr>
          <w:p>
            <w:r>
              <w:rPr>
                <w:sz w:val="18"/>
                <w:szCs w:val="18"/>
              </w:rPr>
              <w:t xml:space="preserve">Geolocation table has extreme row duplication</w:t>
            </w:r>
          </w:p>
        </w:tc>
        <w:tc>
          <w:tcPr>
            <w:tcW w:type="dxa" w:w="900"/>
          </w:tcPr>
          <w:p>
            <w:r>
              <w:rPr>
                <w:sz w:val="18"/>
                <w:szCs w:val="18"/>
              </w:rPr>
              <w:t xml:space="preserve">geolocation</w:t>
            </w:r>
          </w:p>
        </w:tc>
        <w:tc>
          <w:tcPr>
            <w:tcW w:type="dxa" w:w="2100"/>
          </w:tcPr>
          <w:p>
            <w:r>
              <w:rPr>
                <w:sz w:val="18"/>
                <w:szCs w:val="18"/>
              </w:rPr>
              <w:t xml:space="preserve">981,148 of 1,000,163 rows (98.1%) share a zip-code prefix with at least one other row</w:t>
            </w:r>
          </w:p>
        </w:tc>
        <w:tc>
          <w:tcPr>
            <w:tcW w:type="dxa" w:w="2500"/>
          </w:tcPr>
          <w:p>
            <w:r>
              <w:rPr>
                <w:sz w:val="18"/>
                <w:szCs w:val="18"/>
              </w:rPr>
              <w:t xml:space="preserve">A naïve join from customers/sellers to geolocation on zip code will fan out and multiply row counts across the whole pipeline</w:t>
            </w:r>
          </w:p>
        </w:tc>
        <w:tc>
          <w:tcPr>
            <w:tcW w:type="dxa" w:w="2500"/>
          </w:tcPr>
          <w:p>
            <w:r>
              <w:rPr>
                <w:sz w:val="18"/>
                <w:szCs w:val="18"/>
              </w:rPr>
              <w:t xml:space="preserve">Aggregate geolocation to one row per zip-code prefix (mean lat/lng) before ever joining it to another table</w:t>
            </w:r>
          </w:p>
        </w:tc>
      </w:tr>
      <w:tr>
        <w:tc>
          <w:tcPr>
            <w:tcW w:type="dxa" w:w="350"/>
            <w:shd w:fill="EDEDED" w:val="clear"/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shd w:fill="EDEDED" w:val="clear"/>
          </w:tcPr>
          <w:p>
            <w:r>
              <w:rPr>
                <w:sz w:val="18"/>
                <w:szCs w:val="18"/>
              </w:rPr>
              <w:t xml:space="preserve">Free-text review comments mostly absent</w:t>
            </w:r>
          </w:p>
        </w:tc>
        <w:tc>
          <w:tcPr>
            <w:tcW w:type="dxa" w:w="900"/>
            <w:shd w:fill="EDEDED" w:val="clear"/>
          </w:tcPr>
          <w:p>
            <w:r>
              <w:rPr>
                <w:sz w:val="18"/>
                <w:szCs w:val="18"/>
              </w:rPr>
              <w:t xml:space="preserve">order_reviews</w:t>
            </w:r>
          </w:p>
        </w:tc>
        <w:tc>
          <w:tcPr>
            <w:tcW w:type="dxa" w:w="2100"/>
            <w:shd w:fill="EDEDED" w:val="clear"/>
          </w:tcPr>
          <w:p>
            <w:r>
              <w:rPr>
                <w:sz w:val="18"/>
                <w:szCs w:val="18"/>
              </w:rPr>
              <w:t xml:space="preserve">review_comment_title null in 87,656 of 99,224 rows; review_comment_message null in 58,247</w:t>
            </w:r>
          </w:p>
        </w:tc>
        <w:tc>
          <w:tcPr>
            <w:tcW w:type="dxa" w:w="2500"/>
            <w:shd w:fill="EDEDED" w:val="clear"/>
          </w:tcPr>
          <w:p>
            <w:r>
              <w:rPr>
                <w:sz w:val="18"/>
                <w:szCs w:val="18"/>
              </w:rPr>
              <w:t xml:space="preserve">Not an error — most customers just leave a star rating — but the planned AI theme-categorization only has real text on ~41% of reviews</w:t>
            </w:r>
          </w:p>
        </w:tc>
        <w:tc>
          <w:tcPr>
            <w:tcW w:type="dxa" w:w="2500"/>
            <w:shd w:fill="EDEDED" w:val="clear"/>
          </w:tcPr>
          <w:p>
            <w:r>
              <w:rPr>
                <w:sz w:val="18"/>
                <w:szCs w:val="18"/>
              </w:rPr>
              <w:t xml:space="preserve">Categorize only non-null comments; report the categorization coverage rate explicitly rather than implying full coverage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What passed clean</w:t>
      </w:r>
    </w:p>
    <w:p>
      <w:pPr>
        <w:spacing w:after="240"/>
      </w:pPr>
      <w:r>
        <w:rPr>
          <w:sz w:val="22"/>
          <w:szCs w:val="22"/>
        </w:rPr>
        <w:t xml:space="preserve">Referential integrity is solid across the board: every order_items, order_payments, and order_reviews row correctly references an existing order, and every order item correctly references an existing product and seller. No orphan records, no orders with a delivery date earlier than their purchase date, and no non-positive item prices. This matters for the case study — it lets us say plainly that the foreign-key layer of this data is trustworthy; the problems are in nulls, duplicates, and category/geolocation granularity, which is a realistic and fair thing for a real client's export pipeline to have.</w:t>
      </w:r>
    </w:p>
    <w:p>
      <w:pPr>
        <w:pStyle w:val="Heading1"/>
      </w:pPr>
      <w:r>
        <w:t xml:space="preserve">Next: Phase 4 — Data Cleaning</w:t>
      </w:r>
    </w:p>
    <w:p>
      <w:r>
        <w:rPr>
          <w:sz w:val="22"/>
          <w:szCs w:val="22"/>
        </w:rPr>
        <w:t xml:space="preserve">Cleaning scripts in src/cleaning/ apply the treatments above and produce a clean, validated set of tables in data/processed/, with the audit script re-run against the cleaned output to prove each issue is resolved (or, for #6, correctly preserved as a KPI rather than “fixed”).</w:t>
      </w:r>
    </w:p>
    <w:sectPr>
      <w:pgSz w:w="12240" w:h="15840" w:orient="portrait"/>
      <w:pgMar w:top="1080" w:right="1160" w:bottom="1080" w:left="1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2026-09-14T07:50:47.980Z</dcterms:created>
  <dcterms:modified xsi:type="dcterms:W3CDTF">2026-09-14T07:50:47.988Z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