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4 — Data Cleaning: Verification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src/cleaning/clean_pipeline.py, run against data/raw/client_excel_exports/. Output: 10 clean CSVs in data/processed/. Verification below re-checks every Phase 3 finding against the cleaned tables.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800"/>
        <w:gridCol w:w="1800"/>
        <w:gridCol w:w="2700"/>
        <w:gridCol w:w="2700"/>
      </w:tblGrid>
      <w:tr>
        <w:trPr>
          <w:tblHeader/>
        </w:trPr>
        <w:tc>
          <w:tcPr>
            <w:tcW w:type="dxa" w:w="3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After Cleaning</w:t>
            </w:r>
          </w:p>
        </w:tc>
        <w:tc>
          <w:tcPr>
            <w:tcW w:type="dxa" w:w="27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Missing delivery timestamps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8 “delivered” orders with no delivery date; 7,826 late deliveries unflagged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Both now explicit boolean columns (is_delivered_without_date, is_late_delivery) — 8 and 7,827 respectively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Preserved as flags, not silently dropped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customer_id vs customer_unique_id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99,441 vs 96,096 unique, no way to tell repeat buyers apart at a glance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is_repeat_customer_id flag added; 6,342 rows now explicitly marked as belonging to a repeat customer_unique_id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Duplicate reviews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814 duplicate review_id; 551 orders with &gt;1 review row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0 duplicate review_id; 0 orders with &gt;1 review row (98,127 clean rows, down from 99,224)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Missing product category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610 products with null category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0 — all tagged “uncategorized” rather than dropped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Untranslated categories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pc_gamer, portateis_cozinha_e_preparadores_de_alimentos unmapped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0 null English categories; pc_gamer confirmed mapped to “Gaming PC”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Late deliveries (business signal)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8.1% of delivered orders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Unchanged in substance — carried forward as is_late_delivery, feeds Phase 8 seller-risk analysis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Preserved by design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Payment/order total mismatch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255 of 98,665 orders (0.26%)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Same 255 orders, now explicitly flagged in payment_reconciliation.csv rather than silently absorbed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Resolved (flagged, not hidden)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Zero-value / zero-installment payments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9 / 2 rows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Same rows, now explicitly flagged (is_zero_value_row, is_zero_installments)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Geolocation duplication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1,000,163 rows, 98.1% duplicate zip prefixes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Aggregated to 19,015 rows — one per zip-code prefix, 0 duplicates remaining</w:t>
            </w:r>
          </w:p>
        </w:tc>
        <w:tc>
          <w:tcPr>
            <w:tcW w:type="dxa" w:w="2700"/>
          </w:tcPr>
          <w:p>
            <w:r>
              <w:rPr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Free-text reviews mostly absent</w:t>
            </w:r>
          </w:p>
        </w:tc>
        <w:tc>
          <w:tcPr>
            <w:tcW w:type="dxa" w:w="1800"/>
            <w:shd w:fill="EDEDED" w:val="clear"/>
          </w:tcPr>
          <w:p>
            <w:r>
              <w:rPr>
                <w:sz w:val="18"/>
                <w:szCs w:val="18"/>
              </w:rPr>
              <w:t xml:space="preserve">41% of reviews have comment text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has_comment_text flag added so AI categorization reports true coverage</w:t>
            </w:r>
          </w:p>
        </w:tc>
        <w:tc>
          <w:tcPr>
            <w:tcW w:type="dxa" w:w="2700"/>
            <w:shd w:fill="EDEDED" w:val="clear"/>
          </w:tcPr>
          <w:p>
            <w:r>
              <w:rPr>
                <w:sz w:val="18"/>
                <w:szCs w:val="18"/>
              </w:rPr>
              <w:t xml:space="preserve">Resolved (made explicit)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changed structurally</w:t>
      </w:r>
    </w:p>
    <w:p>
      <w:pPr>
        <w:spacing w:after="120"/>
      </w:pPr>
      <w:r>
        <w:rPr>
          <w:sz w:val="22"/>
          <w:szCs w:val="22"/>
        </w:rPr>
        <w:t xml:space="preserve">Client Excel exports are now the ingestion source, not the flat CSVs — the pipeline reads directly from the six workbooks in data/raw/client_excel_exports/, matching how Vento's ops manager actually receives the data.</w:t>
      </w:r>
    </w:p>
    <w:p>
      <w:pPr>
        <w:spacing w:after="120"/>
      </w:pPr>
      <w:r>
        <w:rPr>
          <w:sz w:val="22"/>
          <w:szCs w:val="22"/>
        </w:rPr>
        <w:t xml:space="preserve">Geolocation went from 1,000,163 → 19,015 rows. This was the single highest-leverage fix: every later join to customer/seller location now runs on a clean one-row-per-zip table instead of silently fanning out.</w:t>
      </w:r>
    </w:p>
    <w:p>
      <w:pPr>
        <w:spacing w:after="240"/>
      </w:pPr>
      <w:r>
        <w:rPr>
          <w:sz w:val="22"/>
          <w:szCs w:val="22"/>
        </w:rPr>
        <w:t xml:space="preserve">Nothing was silently dropped. Every “bad” row (missing dates, zero-value payments, mismatched totals) is still in the data, just explicitly flagged — so a future user of this dataset can decide how to treat it instead of inheriting an invisible decision.</w:t>
      </w:r>
    </w:p>
    <w:p>
      <w:pPr>
        <w:pStyle w:val="Heading1"/>
      </w:pPr>
      <w:r>
        <w:t xml:space="preserve">Next: Phase 5 — Transformation</w:t>
      </w:r>
    </w:p>
    <w:p>
      <w:r>
        <w:rPr>
          <w:sz w:val="22"/>
          <w:szCs w:val="22"/>
        </w:rPr>
        <w:t xml:space="preserve">Build the analytical tables (order-level, customer-level, seller-level) that Phase 6's SQL database will actually be loaded from, joining the cleaned tables above.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2026-09-14T07:53:25.910Z</dcterms:created>
  <dcterms:modified xsi:type="dcterms:W3CDTF">2026-09-14T07:53:25.910Z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