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5 — Transformation: Analytical Marts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src/transformation/build_marts.py, run against the cleaned tables in data/processed/. Output: 4 tables in data/processed/marts/, which the SQL database (Phase 6) will be loaded from directly.</w:t>
      </w:r>
    </w:p>
    <w:p>
      <w:pPr>
        <w:pStyle w:val="Heading1"/>
      </w:pPr>
      <w:r>
        <w:t xml:space="preserve">The four marts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900"/>
        <w:gridCol w:w="4850"/>
      </w:tblGrid>
      <w:tr>
        <w:trPr>
          <w:tblHeader/>
        </w:trPr>
        <w:tc>
          <w:tcPr>
            <w:tcW w:type="dxa" w:w="2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8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</w:tr>
      <w:tr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fact_order_items.csv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One row per item sold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112,650</w:t>
            </w:r>
          </w:p>
        </w:tc>
        <w:tc>
          <w:tcPr>
            <w:tcW w:type="dxa" w:w="4850"/>
          </w:tcPr>
          <w:p>
            <w:r>
              <w:rPr>
                <w:sz w:val="18"/>
                <w:szCs w:val="18"/>
              </w:rPr>
              <w:t xml:space="preserve">The most granular fact — every business question that needs product, seller, or shipment detail starts here</w:t>
            </w:r>
          </w:p>
        </w:tc>
      </w:tr>
      <w:tr>
        <w:tc>
          <w:tcPr>
            <w:tcW w:type="dxa" w:w="2300"/>
            <w:shd w:fill="EDEDED" w:val="clear"/>
          </w:tcPr>
          <w:p>
            <w:r>
              <w:rPr>
                <w:sz w:val="18"/>
                <w:szCs w:val="18"/>
              </w:rPr>
              <w:t xml:space="preserve">fact_orders.csv</w:t>
            </w:r>
          </w:p>
        </w:tc>
        <w:tc>
          <w:tcPr>
            <w:tcW w:type="dxa" w:w="1300"/>
            <w:shd w:fill="EDEDED" w:val="clear"/>
          </w:tcPr>
          <w:p>
            <w:r>
              <w:rPr>
                <w:sz w:val="18"/>
                <w:szCs w:val="18"/>
              </w:rPr>
              <w:t xml:space="preserve">One row per order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99,441</w:t>
            </w:r>
          </w:p>
        </w:tc>
        <w:tc>
          <w:tcPr>
            <w:tcW w:type="dxa" w:w="4850"/>
            <w:shd w:fill="EDEDED" w:val="clear"/>
          </w:tcPr>
          <w:p>
            <w:r>
              <w:rPr>
                <w:sz w:val="18"/>
                <w:szCs w:val="18"/>
              </w:rPr>
              <w:t xml:space="preserve">The main table for revenue, delivery, and payment KPIs</w:t>
            </w:r>
          </w:p>
        </w:tc>
      </w:tr>
      <w:tr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dim_customers.csv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One row per real customer (customer_unique_id)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93,358</w:t>
            </w:r>
          </w:p>
        </w:tc>
        <w:tc>
          <w:tcPr>
            <w:tcW w:type="dxa" w:w="4850"/>
          </w:tcPr>
          <w:p>
            <w:r>
              <w:rPr>
                <w:sz w:val="18"/>
                <w:szCs w:val="18"/>
              </w:rPr>
              <w:t xml:space="preserve">Repeat-purchase rate, customer value, retention — this is why Finding #2 from Phase 3 mattered</w:t>
            </w:r>
          </w:p>
        </w:tc>
      </w:tr>
      <w:tr>
        <w:tc>
          <w:tcPr>
            <w:tcW w:type="dxa" w:w="2300"/>
            <w:shd w:fill="EDEDED" w:val="clear"/>
          </w:tcPr>
          <w:p>
            <w:r>
              <w:rPr>
                <w:sz w:val="18"/>
                <w:szCs w:val="18"/>
              </w:rPr>
              <w:t xml:space="preserve">dim_sellers.csv</w:t>
            </w:r>
          </w:p>
        </w:tc>
        <w:tc>
          <w:tcPr>
            <w:tcW w:type="dxa" w:w="1300"/>
            <w:shd w:fill="EDEDED" w:val="clear"/>
          </w:tcPr>
          <w:p>
            <w:r>
              <w:rPr>
                <w:sz w:val="18"/>
                <w:szCs w:val="18"/>
              </w:rPr>
              <w:t xml:space="preserve">One row per seller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3,095</w:t>
            </w:r>
          </w:p>
        </w:tc>
        <w:tc>
          <w:tcPr>
            <w:tcW w:type="dxa" w:w="4850"/>
            <w:shd w:fill="EDEDED" w:val="clear"/>
          </w:tcPr>
          <w:p>
            <w:r>
              <w:rPr>
                <w:sz w:val="18"/>
                <w:szCs w:val="18"/>
              </w:rPr>
              <w:t xml:space="preserve">Seller performance and risk ranking — feeds Phase 8 directly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Key business logic decisions (and why)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dim_customers is built only from delivered orders. A canceled or unfulfilled order shouldn't count toward a customer's spend or order history — counting it would overstate customer value.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Repeat-purchase rate came out to ~3% (2,801 of 93,358 customers placed more than one order). This is a real, well-documented characteristic of this dataset — Olist's marketplace structure means most sellers only interact with a customer once. It's a legitimate, discussable finding for the case study, not a data-quality problem.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dim_sellers late-delivery rate and review score move together at the low end — the five worst sellers by late-delivery rate (all ≥10 orders) all show average review scores between 1.7 and 3.75, well below the marketplace average. This is exactly the pattern the client's Upwork posting asked us to surface.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fact_orders.n_distinct_sellers flags split shipments (1,278 orders draw from more than one seller) — relevant because a late delivery on a multi-seller order isn't necessarily any single seller's fault, so seller-risk scoring in Phase 8 will need to account for this.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payment_reconciliation_flag carries through from Phase 4 into fact_orders untouched — so any revenue KPI built on this table can filter it in or out explicitly rather than the flag getting lost in a join.</w:t>
      </w:r>
    </w:p>
    <w:p>
      <w:pPr>
        <w:pStyle w:val="Heading1"/>
      </w:pPr>
      <w:r>
        <w:t xml:space="preserve">Quick validation run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fact_order_items row count matches the source order_items table exactly (112,650) — confirms the joins didn't fan out or drop rows.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Total order_total_value across delivered orders: R$15,419,773.75 — this becomes the baseline revenue figure for Phase 8's executive KPIs.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Average delivery time across delivered orders: 12.1 days.</w:t>
      </w:r>
    </w:p>
    <w:p>
      <w:pPr>
        <w:pStyle w:val="Heading1"/>
      </w:pPr>
      <w:r>
        <w:t xml:space="preserve">Next: Phase 6 — SQL Database</w:t>
      </w:r>
    </w:p>
    <w:p>
      <w:r>
        <w:rPr>
          <w:sz w:val="22"/>
          <w:szCs w:val="22"/>
        </w:rPr>
        <w:t xml:space="preserve">Load these four marts (plus the supporting dimension tables — products, geolocation) into a SQLite database, so Phase 7–8's business-question queries run against real SQL rather than pandas.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2026-09-14T07:57:31.643Z</dcterms:created>
  <dcterms:modified xsi:type="dcterms:W3CDTF">2026-09-14T07:57:31.659Z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