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Phase 7 — Exploratory Analysis</w:t>
      </w:r>
    </w:p>
    <w:p>
      <w:pPr>
        <w:spacing w:after="240"/>
      </w:pPr>
      <w:r>
        <w:t xml:space="preserve">Vento Marketplace Intelligence Project — Portfolio Case Study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Source: ad-hoc SQL against sql/vento_marketplace.db. This is intuition-building, not the formal business-question analysis (that's Phase 8) — but three real, usable findings already came out of it.</w:t>
      </w:r>
    </w:p>
    <w:p>
      <w:pPr>
        <w:pStyle w:val="Heading1"/>
      </w:pPr>
      <w:r>
        <w:t xml:space="preserve">1. Order volume &amp; revenue: steady ramp, one clear spike, then a plateau</w:t>
      </w:r>
    </w:p>
    <w:p>
      <w:pPr>
        <w:spacing w:after="200"/>
      </w:pPr>
      <w:r>
        <w:rPr>
          <w:sz w:val="22"/>
          <w:szCs w:val="22"/>
        </w:rPr>
        <w:t xml:space="preserve">Vento went from a standing start in late 2016 to ~R$1.1M/month in delivered revenue by late 2017, and has held roughly steady through mid-2018. November 2017 stands out sharply — R$1,153,364 in revenue, the single highest month in the dataset, consistent with Black Friday seasonality. Growth essentially flattens after that; 2018 months oscillate between R$970K and R$1.13M rather than continuing to climb. That flattening is itself worth a management conversation, not just a chart.</w:t>
      </w:r>
    </w:p>
    <w:p>
      <w:pPr>
        <w:spacing w:after="240"/>
      </w:pPr>
      <w:r>
        <w:drawing>
          <wp:inline distT="0" distB="0" distL="0" distR="0">
            <wp:extent cx="523875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Category mix: Health &amp; Beauty leads, but it's a competitive top tier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50"/>
      </w:tblGrid>
      <w:tr>
        <w:trPr>
          <w:tblHeader/>
        </w:trPr>
        <w:tc>
          <w:tcPr>
            <w:tcW w:type="dxa" w:w="50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35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</w:tr>
      <w:tr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Health &amp; Beauty</w:t>
            </w:r>
          </w:p>
        </w:tc>
        <w:tc>
          <w:tcPr>
            <w:tcW w:type="dxa" w:w="4350"/>
          </w:tcPr>
          <w:p>
            <w:r>
              <w:rPr>
                <w:sz w:val="18"/>
                <w:szCs w:val="18"/>
              </w:rPr>
              <w:t xml:space="preserve">R$1,441,248</w:t>
            </w:r>
          </w:p>
        </w:tc>
      </w:tr>
      <w:tr>
        <w:tc>
          <w:tcPr>
            <w:tcW w:type="dxa" w:w="5000"/>
            <w:shd w:fill="EDEDED" w:val="clear"/>
          </w:tcPr>
          <w:p>
            <w:r>
              <w:rPr>
                <w:sz w:val="18"/>
                <w:szCs w:val="18"/>
              </w:rPr>
              <w:t xml:space="preserve">Watches &amp; Gifts</w:t>
            </w:r>
          </w:p>
        </w:tc>
        <w:tc>
          <w:tcPr>
            <w:tcW w:type="dxa" w:w="4350"/>
            <w:shd w:fill="EDEDED" w:val="clear"/>
          </w:tcPr>
          <w:p>
            <w:r>
              <w:rPr>
                <w:sz w:val="18"/>
                <w:szCs w:val="18"/>
              </w:rPr>
              <w:t xml:space="preserve">R$1,305,542</w:t>
            </w:r>
          </w:p>
        </w:tc>
      </w:tr>
      <w:tr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Bed, Bath &amp; Table</w:t>
            </w:r>
          </w:p>
        </w:tc>
        <w:tc>
          <w:tcPr>
            <w:tcW w:type="dxa" w:w="4350"/>
          </w:tcPr>
          <w:p>
            <w:r>
              <w:rPr>
                <w:sz w:val="18"/>
                <w:szCs w:val="18"/>
              </w:rPr>
              <w:t xml:space="preserve">R$1,241,682</w:t>
            </w:r>
          </w:p>
        </w:tc>
      </w:tr>
      <w:tr>
        <w:tc>
          <w:tcPr>
            <w:tcW w:type="dxa" w:w="5000"/>
            <w:shd w:fill="EDEDED" w:val="clear"/>
          </w:tcPr>
          <w:p>
            <w:r>
              <w:rPr>
                <w:sz w:val="18"/>
                <w:szCs w:val="18"/>
              </w:rPr>
              <w:t xml:space="preserve">Sports &amp; Leisure</w:t>
            </w:r>
          </w:p>
        </w:tc>
        <w:tc>
          <w:tcPr>
            <w:tcW w:type="dxa" w:w="4350"/>
            <w:shd w:fill="EDEDED" w:val="clear"/>
          </w:tcPr>
          <w:p>
            <w:r>
              <w:rPr>
                <w:sz w:val="18"/>
                <w:szCs w:val="18"/>
              </w:rPr>
              <w:t xml:space="preserve">R$1,156,656</w:t>
            </w:r>
          </w:p>
        </w:tc>
      </w:tr>
      <w:tr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Computers &amp; Accessories</w:t>
            </w:r>
          </w:p>
        </w:tc>
        <w:tc>
          <w:tcPr>
            <w:tcW w:type="dxa" w:w="4350"/>
          </w:tcPr>
          <w:p>
            <w:r>
              <w:rPr>
                <w:sz w:val="18"/>
                <w:szCs w:val="18"/>
              </w:rPr>
              <w:t xml:space="preserve">R$1,059,272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sz w:val="22"/>
          <w:szCs w:val="22"/>
        </w:rPr>
        <w:t xml:space="preserve">No single category dominates — the top 5 are within ~35% of each other. This matters for the dashboard design in Phase 9: a single “top category” headline number would be misleading; Vento's revenue is genuinely broad-based across categories.</w:t>
      </w:r>
    </w:p>
    <w:p>
      <w:pPr>
        <w:spacing w:after="240"/>
      </w:pPr>
      <w:r>
        <w:drawing>
          <wp:inline distT="0" distB="0" distL="0" distR="0">
            <wp:extent cx="523875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 Payment behavior: credit card dominates, and installments are common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500"/>
        <w:gridCol w:w="2050"/>
      </w:tblGrid>
      <w:tr>
        <w:trPr>
          <w:tblHeader/>
        </w:trPr>
        <w:tc>
          <w:tcPr>
            <w:tcW w:type="dxa" w:w="28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Payment type</w:t>
            </w:r>
          </w:p>
        </w:tc>
        <w:tc>
          <w:tcPr>
            <w:tcW w:type="dxa" w:w="20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Share of rows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Avg. installments</w:t>
            </w:r>
          </w:p>
        </w:tc>
        <w:tc>
          <w:tcPr>
            <w:tcW w:type="dxa" w:w="205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 value</w:t>
            </w:r>
          </w:p>
        </w:tc>
      </w:tr>
      <w:tr>
        <w:tc>
          <w:tcPr>
            <w:tcW w:type="dxa" w:w="2800"/>
          </w:tcPr>
          <w:p>
            <w:r>
              <w:rPr>
                <w:sz w:val="18"/>
                <w:szCs w:val="18"/>
              </w:rPr>
              <w:t xml:space="preserve">Credit card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73.9%</w:t>
            </w:r>
          </w:p>
        </w:tc>
        <w:tc>
          <w:tcPr>
            <w:tcW w:type="dxa" w:w="2500"/>
          </w:tcPr>
          <w:p>
            <w:r>
              <w:rPr>
                <w:sz w:val="18"/>
                <w:szCs w:val="18"/>
              </w:rPr>
              <w:t xml:space="preserve">3.51</w:t>
            </w:r>
          </w:p>
        </w:tc>
        <w:tc>
          <w:tcPr>
            <w:tcW w:type="dxa" w:w="2050"/>
          </w:tcPr>
          <w:p>
            <w:r>
              <w:rPr>
                <w:sz w:val="18"/>
                <w:szCs w:val="18"/>
              </w:rPr>
              <w:t xml:space="preserve">R$12,542,084</w:t>
            </w:r>
          </w:p>
        </w:tc>
      </w:tr>
      <w:tr>
        <w:tc>
          <w:tcPr>
            <w:tcW w:type="dxa" w:w="2800"/>
            <w:shd w:fill="EDEDED" w:val="clear"/>
          </w:tcPr>
          <w:p>
            <w:r>
              <w:rPr>
                <w:sz w:val="18"/>
                <w:szCs w:val="18"/>
              </w:rPr>
              <w:t xml:space="preserve">Boleto (bank slip)</w:t>
            </w:r>
          </w:p>
        </w:tc>
        <w:tc>
          <w:tcPr>
            <w:tcW w:type="dxa" w:w="2000"/>
            <w:shd w:fill="EDEDED" w:val="clear"/>
          </w:tcPr>
          <w:p>
            <w:r>
              <w:rPr>
                <w:sz w:val="18"/>
                <w:szCs w:val="18"/>
              </w:rPr>
              <w:t xml:space="preserve">19.0%</w:t>
            </w:r>
          </w:p>
        </w:tc>
        <w:tc>
          <w:tcPr>
            <w:tcW w:type="dxa" w:w="2500"/>
            <w:shd w:fill="EDEDED" w:val="clear"/>
          </w:tcPr>
          <w:p>
            <w:r>
              <w:rPr>
                <w:sz w:val="18"/>
                <w:szCs w:val="18"/>
              </w:rPr>
              <w:t xml:space="preserve">1.00</w:t>
            </w:r>
          </w:p>
        </w:tc>
        <w:tc>
          <w:tcPr>
            <w:tcW w:type="dxa" w:w="2050"/>
            <w:shd w:fill="EDEDED" w:val="clear"/>
          </w:tcPr>
          <w:p>
            <w:r>
              <w:rPr>
                <w:sz w:val="18"/>
                <w:szCs w:val="18"/>
              </w:rPr>
              <w:t xml:space="preserve">R$2,869,361</w:t>
            </w:r>
          </w:p>
        </w:tc>
      </w:tr>
      <w:tr>
        <w:tc>
          <w:tcPr>
            <w:tcW w:type="dxa" w:w="2800"/>
          </w:tcPr>
          <w:p>
            <w:r>
              <w:rPr>
                <w:sz w:val="18"/>
                <w:szCs w:val="18"/>
              </w:rPr>
              <w:t xml:space="preserve">Voucher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5.6%</w:t>
            </w:r>
          </w:p>
        </w:tc>
        <w:tc>
          <w:tcPr>
            <w:tcW w:type="dxa" w:w="2500"/>
          </w:tcPr>
          <w:p>
            <w:r>
              <w:rPr>
                <w:sz w:val="18"/>
                <w:szCs w:val="18"/>
              </w:rPr>
              <w:t xml:space="preserve">1.00</w:t>
            </w:r>
          </w:p>
        </w:tc>
        <w:tc>
          <w:tcPr>
            <w:tcW w:type="dxa" w:w="2050"/>
          </w:tcPr>
          <w:p>
            <w:r>
              <w:rPr>
                <w:sz w:val="18"/>
                <w:szCs w:val="18"/>
              </w:rPr>
              <w:t xml:space="preserve">R$379,437</w:t>
            </w:r>
          </w:p>
        </w:tc>
      </w:tr>
      <w:tr>
        <w:tc>
          <w:tcPr>
            <w:tcW w:type="dxa" w:w="2800"/>
            <w:shd w:fill="EDEDED" w:val="clear"/>
          </w:tcPr>
          <w:p>
            <w:r>
              <w:rPr>
                <w:sz w:val="18"/>
                <w:szCs w:val="18"/>
              </w:rPr>
              <w:t xml:space="preserve">Debit card</w:t>
            </w:r>
          </w:p>
        </w:tc>
        <w:tc>
          <w:tcPr>
            <w:tcW w:type="dxa" w:w="2000"/>
            <w:shd w:fill="EDEDED" w:val="clear"/>
          </w:tcPr>
          <w:p>
            <w:r>
              <w:rPr>
                <w:sz w:val="18"/>
                <w:szCs w:val="18"/>
              </w:rPr>
              <w:t xml:space="preserve">1.5%</w:t>
            </w:r>
          </w:p>
        </w:tc>
        <w:tc>
          <w:tcPr>
            <w:tcW w:type="dxa" w:w="2500"/>
            <w:shd w:fill="EDEDED" w:val="clear"/>
          </w:tcPr>
          <w:p>
            <w:r>
              <w:rPr>
                <w:sz w:val="18"/>
                <w:szCs w:val="18"/>
              </w:rPr>
              <w:t xml:space="preserve">1.00</w:t>
            </w:r>
          </w:p>
        </w:tc>
        <w:tc>
          <w:tcPr>
            <w:tcW w:type="dxa" w:w="2050"/>
            <w:shd w:fill="EDEDED" w:val="clear"/>
          </w:tcPr>
          <w:p>
            <w:r>
              <w:rPr>
                <w:sz w:val="18"/>
                <w:szCs w:val="18"/>
              </w:rPr>
              <w:t xml:space="preserve">R$217,990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sz w:val="22"/>
          <w:szCs w:val="22"/>
        </w:rPr>
        <w:t xml:space="preserve">Credit card carries nearly 82% of total payment value and is the only method with meaningful installment usage (avg. 3.51 installments) — a real Brazilian consumer-credit pattern. Boleto (a Brazilian bank-slip payment method with no installment option) is the clear #2. This is directly relevant to the payment-risk angle from the original brief: any payment-method risk analysis in Phase 8 needs to control for installment count, since credit-card orders are structurally different from the other three methods.</w:t>
      </w:r>
    </w:p>
    <w:p>
      <w:pPr>
        <w:pStyle w:val="Heading1"/>
      </w:pPr>
      <w:r>
        <w:t xml:space="preserve">4. Delivery time: median 10 days, but a long tail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Percentile</w:t>
            </w:r>
          </w:p>
        </w:tc>
        <w:tc>
          <w:tcPr>
            <w:tcW w:type="dxa" w:w="4675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Days to deliver</w:t>
            </w:r>
          </w:p>
        </w:tc>
      </w:tr>
      <w:tr>
        <w:tc>
          <w:tcPr>
            <w:tcW w:type="dxa" w:w="4675"/>
          </w:tcPr>
          <w:p>
            <w:r>
              <w:rPr>
                <w:sz w:val="18"/>
                <w:szCs w:val="18"/>
              </w:rPr>
              <w:t xml:space="preserve">10th</w:t>
            </w:r>
          </w:p>
        </w:tc>
        <w:tc>
          <w:tcPr>
            <w:tcW w:type="dxa" w:w="4675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675"/>
            <w:shd w:fill="EDEDED" w:val="clear"/>
          </w:tcPr>
          <w:p>
            <w:r>
              <w:rPr>
                <w:sz w:val="18"/>
                <w:szCs w:val="18"/>
              </w:rPr>
              <w:t xml:space="preserve">25th</w:t>
            </w:r>
          </w:p>
        </w:tc>
        <w:tc>
          <w:tcPr>
            <w:tcW w:type="dxa" w:w="4675"/>
            <w:shd w:fill="EDEDED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675"/>
          </w:tcPr>
          <w:p>
            <w:r>
              <w:rPr>
                <w:sz w:val="18"/>
                <w:szCs w:val="18"/>
              </w:rPr>
              <w:t xml:space="preserve">50th (median)</w:t>
            </w:r>
          </w:p>
        </w:tc>
        <w:tc>
          <w:tcPr>
            <w:tcW w:type="dxa" w:w="4675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675"/>
            <w:shd w:fill="EDEDED" w:val="clear"/>
          </w:tcPr>
          <w:p>
            <w:r>
              <w:rPr>
                <w:sz w:val="18"/>
                <w:szCs w:val="18"/>
              </w:rPr>
              <w:t xml:space="preserve">75th</w:t>
            </w:r>
          </w:p>
        </w:tc>
        <w:tc>
          <w:tcPr>
            <w:tcW w:type="dxa" w:w="4675"/>
            <w:shd w:fill="EDEDED" w:val="clear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4675"/>
          </w:tcPr>
          <w:p>
            <w:r>
              <w:rPr>
                <w:sz w:val="18"/>
                <w:szCs w:val="18"/>
              </w:rPr>
              <w:t xml:space="preserve">90th</w:t>
            </w:r>
          </w:p>
        </w:tc>
        <w:tc>
          <w:tcPr>
            <w:tcW w:type="dxa" w:w="4675"/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4675"/>
            <w:shd w:fill="EDEDED" w:val="clear"/>
          </w:tcPr>
          <w:p>
            <w:r>
              <w:rPr>
                <w:sz w:val="18"/>
                <w:szCs w:val="18"/>
              </w:rPr>
              <w:t xml:space="preserve">95th</w:t>
            </w:r>
          </w:p>
        </w:tc>
        <w:tc>
          <w:tcPr>
            <w:tcW w:type="dxa" w:w="4675"/>
            <w:shd w:fill="EDEDED" w:val="clear"/>
          </w:tcPr>
          <w:p>
            <w:r>
              <w:rPr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4675"/>
          </w:tcPr>
          <w:p>
            <w:r>
              <w:rPr>
                <w:sz w:val="18"/>
                <w:szCs w:val="18"/>
              </w:rPr>
              <w:t xml:space="preserve">99th</w:t>
            </w:r>
          </w:p>
        </w:tc>
        <w:tc>
          <w:tcPr>
            <w:tcW w:type="dxa" w:w="4675"/>
          </w:tcPr>
          <w:p>
            <w:r>
              <w:rPr>
                <w:sz w:val="18"/>
                <w:szCs w:val="18"/>
              </w:rPr>
              <w:t xml:space="preserve">46</w:t>
            </w:r>
          </w:p>
        </w:tc>
      </w:tr>
      <w:tr>
        <w:tc>
          <w:tcPr>
            <w:tcW w:type="dxa" w:w="4675"/>
            <w:shd w:fill="EDEDED" w:val="clear"/>
          </w:tcPr>
          <w:p>
            <w:r>
              <w:rPr>
                <w:sz w:val="18"/>
                <w:szCs w:val="18"/>
              </w:rPr>
              <w:t xml:space="preserve">Max</w:t>
            </w:r>
          </w:p>
        </w:tc>
        <w:tc>
          <w:tcPr>
            <w:tcW w:type="dxa" w:w="4675"/>
            <w:shd w:fill="EDEDED" w:val="clear"/>
          </w:tcPr>
          <w:p>
            <w:r>
              <w:rPr>
                <w:sz w:val="18"/>
                <w:szCs w:val="18"/>
              </w:rPr>
              <w:t xml:space="preserve">209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sz w:val="22"/>
          <w:szCs w:val="22"/>
        </w:rPr>
        <w:t xml:space="preserve">Half of all deliveries complete within 10 days, but the top 1% take 46+ days, with a maximum of 209 days. A single “average delivery time” KPI (12.1 days) understates how bad the worst outcomes are — the dashboard should show the distribution, not just the mean.</w:t>
      </w:r>
    </w:p>
    <w:p>
      <w:pPr>
        <w:pStyle w:val="Heading1"/>
      </w:pPr>
      <w:r>
        <w:t xml:space="preserve">5. Review scores: bimodal, not a smooth curve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7"/>
        <w:gridCol w:w="3117"/>
      </w:tblGrid>
      <w:tr>
        <w:trPr>
          <w:tblHeader/>
        </w:trPr>
        <w:tc>
          <w:tcPr>
            <w:tcW w:type="dxa" w:w="3116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117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Orders</w:t>
            </w:r>
          </w:p>
        </w:tc>
        <w:tc>
          <w:tcPr>
            <w:tcW w:type="dxa" w:w="3117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</w:tr>
      <w:tr>
        <w:tc>
          <w:tcPr>
            <w:tcW w:type="dxa" w:w="3116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117"/>
          </w:tcPr>
          <w:p>
            <w:r>
              <w:rPr>
                <w:sz w:val="18"/>
                <w:szCs w:val="18"/>
              </w:rPr>
              <w:t xml:space="preserve">56,743</w:t>
            </w:r>
          </w:p>
        </w:tc>
        <w:tc>
          <w:tcPr>
            <w:tcW w:type="dxa" w:w="3117"/>
          </w:tcPr>
          <w:p>
            <w:r>
              <w:rPr>
                <w:sz w:val="18"/>
                <w:szCs w:val="18"/>
              </w:rPr>
              <w:t xml:space="preserve">57.9%</w:t>
            </w:r>
          </w:p>
        </w:tc>
      </w:tr>
      <w:tr>
        <w:tc>
          <w:tcPr>
            <w:tcW w:type="dxa" w:w="3116"/>
            <w:shd w:fill="EDEDED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117"/>
            <w:shd w:fill="EDEDED" w:val="clear"/>
          </w:tcPr>
          <w:p>
            <w:r>
              <w:rPr>
                <w:sz w:val="18"/>
                <w:szCs w:val="18"/>
              </w:rPr>
              <w:t xml:space="preserve">18,961</w:t>
            </w:r>
          </w:p>
        </w:tc>
        <w:tc>
          <w:tcPr>
            <w:tcW w:type="dxa" w:w="3117"/>
            <w:shd w:fill="EDEDED" w:val="clear"/>
          </w:tcPr>
          <w:p>
            <w:r>
              <w:rPr>
                <w:sz w:val="18"/>
                <w:szCs w:val="18"/>
              </w:rPr>
              <w:t xml:space="preserve">19.4%</w:t>
            </w:r>
          </w:p>
        </w:tc>
      </w:tr>
      <w:tr>
        <w:tc>
          <w:tcPr>
            <w:tcW w:type="dxa" w:w="3116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117"/>
          </w:tcPr>
          <w:p>
            <w:r>
              <w:rPr>
                <w:sz w:val="18"/>
                <w:szCs w:val="18"/>
              </w:rPr>
              <w:t xml:space="preserve">8,068</w:t>
            </w:r>
          </w:p>
        </w:tc>
        <w:tc>
          <w:tcPr>
            <w:tcW w:type="dxa" w:w="3117"/>
          </w:tcPr>
          <w:p>
            <w:r>
              <w:rPr>
                <w:sz w:val="18"/>
                <w:szCs w:val="18"/>
              </w:rPr>
              <w:t xml:space="preserve">8.2%</w:t>
            </w:r>
          </w:p>
        </w:tc>
      </w:tr>
      <w:tr>
        <w:tc>
          <w:tcPr>
            <w:tcW w:type="dxa" w:w="3116"/>
            <w:shd w:fill="EDEDED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117"/>
            <w:shd w:fill="EDEDED" w:val="clear"/>
          </w:tcPr>
          <w:p>
            <w:r>
              <w:rPr>
                <w:sz w:val="18"/>
                <w:szCs w:val="18"/>
              </w:rPr>
              <w:t xml:space="preserve">3,103</w:t>
            </w:r>
          </w:p>
        </w:tc>
        <w:tc>
          <w:tcPr>
            <w:tcW w:type="dxa" w:w="3117"/>
            <w:shd w:fill="EDEDED" w:val="clear"/>
          </w:tcPr>
          <w:p>
            <w:r>
              <w:rPr>
                <w:sz w:val="18"/>
                <w:szCs w:val="18"/>
              </w:rPr>
              <w:t xml:space="preserve">3.2%</w:t>
            </w:r>
          </w:p>
        </w:tc>
      </w:tr>
      <w:tr>
        <w:tc>
          <w:tcPr>
            <w:tcW w:type="dxa" w:w="3116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117"/>
          </w:tcPr>
          <w:p>
            <w:r>
              <w:rPr>
                <w:sz w:val="18"/>
                <w:szCs w:val="18"/>
              </w:rPr>
              <w:t xml:space="preserve">11,252</w:t>
            </w:r>
          </w:p>
        </w:tc>
        <w:tc>
          <w:tcPr>
            <w:tcW w:type="dxa" w:w="3117"/>
          </w:tcPr>
          <w:p>
            <w:r>
              <w:rPr>
                <w:sz w:val="18"/>
                <w:szCs w:val="18"/>
              </w:rPr>
              <w:t xml:space="preserve">11.5%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sz w:val="22"/>
          <w:szCs w:val="22"/>
        </w:rPr>
        <w:t xml:space="preserve">Nearly 58% of reviews are 5-star, but 1-star is the second most common single score — more common than 2 or 3 stars combined. This is a classic satisfied-majority-with-a-vocal-angry-minority pattern, and it's exactly the segment the seller-risk and delivery-risk analysis in Phase 8 needs to explain.</w:t>
      </w:r>
    </w:p>
    <w:p>
      <w:pPr>
        <w:pStyle w:val="Heading1"/>
      </w:pPr>
      <w:r>
        <w:t xml:space="preserve">6. Geographic concentration</w:t>
      </w:r>
    </w:p>
    <w:p>
      <w:pPr>
        <w:spacing w:after="200"/>
      </w:pPr>
      <w:r>
        <w:rPr>
          <w:sz w:val="22"/>
          <w:szCs w:val="22"/>
        </w:rPr>
        <w:t xml:space="preserve">São Paulo alone accounts for 40,501 of 96,478 delivered orders (42.0%) — more than the next five states combined (RJ, MG, RS, PR, SC = 37,518). Any “national” KPI on this dashboard is, in practice, heavily an SP number, which is worth stating explicitly on the executive page rather than leaving implicit.</w:t>
      </w:r>
    </w:p>
    <w:p>
      <w:pPr>
        <w:pStyle w:val="Heading1"/>
      </w:pPr>
      <w:r>
        <w:t xml:space="preserve">What carries into Phase 8</w:t>
      </w:r>
    </w:p>
    <w:p>
      <w:pPr>
        <w:spacing w:after="200"/>
      </w:pPr>
      <w:r>
        <w:rPr>
          <w:sz w:val="22"/>
          <w:szCs w:val="22"/>
        </w:rPr>
        <w:t xml:space="preserve">The November 2017 spike and the 2018 plateau → a trend question, not just a topline number. Installment count as a required control variable for any payment-risk question. Delivery-time distribution (not just the mean) as the standard way to report on-time performance. The 1-star review spike as a specific segment to explain, tied to the seller late-delivery data from Phase 5.</w:t>
      </w:r>
    </w:p>
    <w:p>
      <w:pPr>
        <w:pStyle w:val="Heading1"/>
      </w:pPr>
      <w:r>
        <w:t xml:space="preserve">Next: Phase 8 — Business Analysis</w:t>
      </w:r>
    </w:p>
    <w:p>
      <w:pPr>
        <w:spacing w:after="200"/>
      </w:pPr>
      <w:r>
        <w:rPr>
          <w:sz w:val="22"/>
          <w:szCs w:val="22"/>
        </w:rPr>
        <w:t xml:space="preserve">Formal SQL answers to the ~25 business questions across Executive, Operations, Finance, Customers, Product, and Risk/Data-quality categories, each following Business question → SQL logic → result → business interpretation.</w:t>
      </w:r>
    </w:p>
    <w:sectPr>
      <w:pgSz w:w="12240" w:h="15840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a5fede8cd2c14661d46e6450ecb3ebbf09fc8cd.undefined"/><Relationship Id="rId8" Type="http://schemas.openxmlformats.org/officeDocument/2006/relationships/image" Target="media/37d4437b938a2dbaa911573ecb5ed943fb1da2a1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2026-09-14T19:07:00.497Z</dcterms:created>
  <dcterms:modified xsi:type="dcterms:W3CDTF">2026-09-14T19:07:00.497Z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