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8 — Business Analysis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sql/business_questions.sql (25 queries), run against sql/vento_marketplace.db. Format: Business question → result → interpretation. Full SQL for every question is in the source file.</w:t>
      </w:r>
    </w:p>
    <w:p>
      <w:pPr>
        <w:pStyle w:val="Heading1"/>
        <w:spacing w:before="200"/>
      </w:pPr>
      <w:r>
        <w:t xml:space="preserve">Executive Performance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Q1. Is the business still growing, or has it plateaued?</w:t>
      </w:r>
    </w:p>
    <w:p>
      <w:pPr>
        <w:spacing w:after="160"/>
      </w:pPr>
      <w:r>
        <w:rPr>
          <w:sz w:val="22"/>
          <w:szCs w:val="22"/>
        </w:rPr>
        <w:t xml:space="preserve">Comparing the same 6-month window year-over-year: Feb–Jul 2017 delivered R$2,679,506 across 16,912 orders; Feb–Jul 2018 delivered R$6,335,437 across 39,050 orders.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Revenue is up 136% year-over-year and order count is up 131% — genuine growth, not just the Nov-2017 spike carrying the average. This contradicts the “flattening” impression from the raw monthly chart in Phase 7; month-over-month looks flat because 2017 H2 already scaled up fast, but year-over-year the business is still expanding.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Q2. What is the overall on-time delivery rate?</w:t>
      </w:r>
    </w:p>
    <w:p>
      <w:pPr>
        <w:spacing w:after="160"/>
      </w:pPr>
      <w:r>
        <w:rPr>
          <w:sz w:val="22"/>
          <w:szCs w:val="22"/>
        </w:rPr>
        <w:t xml:space="preserve">91.89% on-time, 8.11% late (matches Phase 3's finding, now formalized as a standing KPI).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This is the number that belongs on the executive dashboard's headline — simple, trackable, and directly tied to the seller-risk work below.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Q3. How does average order value vary by state (top 5 by volume)?</w:t>
      </w:r>
    </w:p>
    <w:p>
      <w:pPr>
        <w:spacing w:after="160"/>
      </w:pPr>
      <w:r>
        <w:rPr>
          <w:sz w:val="22"/>
          <w:szCs w:val="22"/>
        </w:rPr>
        <w:t xml:space="preserve">SP: R$142.46 (lowest of the top 5, despite highest volume) vs RJ: R$166.43, MG: R$160.20, RS: R$161.17, PR: R$158.79.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São Paulo drives volume, not average basket size — its dominance is a volume story, not a spend-per-order story. Marketing/promotions aimed at raising AOV might have more headroom outside SP.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Q4. What share of orders carry a payment-reconciliation flag?</w:t>
      </w:r>
    </w:p>
    <w:p>
      <w:pPr>
        <w:spacing w:after="160"/>
      </w:pPr>
      <w:r>
        <w:rPr>
          <w:sz w:val="22"/>
          <w:szCs w:val="22"/>
        </w:rPr>
        <w:t xml:space="preserve">255 of 99,441 orders (0.26%), representing R$28,074 in flagged order value.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Small in aggregate, but this is exactly the kind of number a client's finance team would want monitored monthly rather than discovered once a year.</w:t>
      </w:r>
    </w:p>
    <w:p>
      <w:pPr>
        <w:pStyle w:val="Heading1"/>
        <w:spacing w:before="200"/>
      </w:pPr>
      <w:r>
        <w:t xml:space="preserve">Operations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Q5. Which sellers generate the most late deliveries in absolute terms?</w:t>
      </w:r>
    </w:p>
    <w:p>
      <w:pPr>
        <w:spacing w:after="160"/>
      </w:pPr>
      <w:r>
        <w:rPr>
          <w:sz w:val="22"/>
          <w:szCs w:val="22"/>
        </w:rPr>
        <w:t xml:space="preserve">Top 5 range from 130–214 late deliveries each, but their late rates are only 11.7%–14.3% — close to the marketplace average.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These are Vento's highest-volume sellers, not its worst-behaved ones — high absolute late-delivery counts here are a volume artifact, not a risk signal. The real seller-risk signal is in Q22's composite score, not raw counts.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Q6. Which delivery leg is slower — seller-to-carrier, or carrier-to-customer?</w:t>
      </w:r>
    </w:p>
    <w:p>
      <w:pPr>
        <w:spacing w:after="160"/>
      </w:pPr>
      <w:r>
        <w:rPr>
          <w:sz w:val="22"/>
          <w:szCs w:val="22"/>
        </w:rPr>
        <w:t xml:space="preserve">Seller handoff to carrier: 2.8 days average. Carrier to customer: 9.33 days average.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Over 3x as much time is lost in last-mile carrier transit as in seller fulfillment. If Vento wants to improve delivery times, the leverage is in carrier/logistics partner performance, not seller behavior.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Q7. Which states have the worst on-time delivery performance?</w:t>
      </w:r>
    </w:p>
    <w:p>
      <w:pPr>
        <w:spacing w:after="160"/>
      </w:pPr>
      <w:r>
        <w:rPr>
          <w:sz w:val="22"/>
          <w:szCs w:val="22"/>
        </w:rPr>
        <w:t xml:space="preserve">Alagoas (AL): 23.93% late. Maranhão (MA): 19.67%. Piauí (PI): 15.97%. Ceará (CE): 15.32%. Sergipe (SE): 15.22% — all Northeastern states, roughly double the national 8.11% average.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This is a geography problem, not a seller-quality problem — these states are simply farther from Vento's likely Southeast-concentrated seller/logistics base. Worth a regional shipping-partner review rather than blaming individual sellers.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Q8. Do multi-seller (split-shipment) orders perform worse than single-seller orders?</w:t>
      </w:r>
    </w:p>
    <w:p>
      <w:pPr>
        <w:spacing w:after="160"/>
      </w:pPr>
      <w:r>
        <w:rPr>
          <w:sz w:val="22"/>
          <w:szCs w:val="22"/>
        </w:rPr>
        <w:t xml:space="preserve">No — the opposite. Multi-seller orders: 1.41% late, 8.66 avg days. Single-seller: 8.20% late, 12.14 avg days.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Counter-intuitive but explainable — split shipments are rare (1.3% of orders) and likely skew toward higher-value, better-fulfilled orders from Vento's more established sellers.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Q9. Are cancellations/unavailability concentrated in a few sellers?</w:t>
      </w:r>
    </w:p>
    <w:p>
      <w:pPr>
        <w:spacing w:after="160"/>
      </w:pPr>
      <w:r>
        <w:rPr>
          <w:sz w:val="22"/>
          <w:szCs w:val="22"/>
        </w:rPr>
        <w:t xml:space="preserve">Only 334 of 3,095 sellers (10.8%) have any canceled/unavailable order at all, and even the worst offender has just 9 bad orders out of 1,706 total (0.5%).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Genuinely diffuse, not a concentrated seller-quality problem — cancellations are rare, low-severity background noise rather than an operational red flag.</w:t>
      </w:r>
    </w:p>
    <w:p>
      <w:pPr>
        <w:pStyle w:val="Heading1"/>
        <w:spacing w:before="200"/>
      </w:pPr>
      <w:r>
        <w:t xml:space="preserve">Finance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Q10. What share of revenue is “at risk” from reconciliation mismatches?</w:t>
      </w:r>
    </w:p>
    <w:p>
      <w:pPr>
        <w:spacing w:after="160"/>
      </w:pPr>
      <w:r>
        <w:rPr>
          <w:sz w:val="22"/>
          <w:szCs w:val="22"/>
        </w:rPr>
        <w:t xml:space="preserve">R$27,844 of R$15,419,774 — 0.181%.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Immaterial at current scale, but the payment_reconciliation_flag column means this can be monitored as Vento grows rather than re-discovered from scratch each quarter.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Q11. Revenue and AOV by payment type</w:t>
      </w:r>
    </w:p>
    <w:p>
      <w:pPr>
        <w:spacing w:after="160"/>
      </w:pPr>
      <w:r>
        <w:rPr>
          <w:sz w:val="22"/>
          <w:szCs w:val="22"/>
        </w:rPr>
        <w:t xml:space="preserve">Credit card: R$12.23M revenue, R$165.40 AOV. Boleto: R$2.77M, R$144.33 AOV. Voucher: R$211K, R$113.60 AOV. Debit card: R$208K, R$140.45 AOV.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Credit-card customers spend ~15% more per order than boleto customers and ~46% more than voucher customers — consistent with installment-based purchasing enabling larger baskets.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Q12. Does installment count correlate with order value?</w:t>
      </w:r>
    </w:p>
    <w:p>
      <w:pPr>
        <w:spacing w:after="160"/>
      </w:pPr>
      <w:r>
        <w:rPr>
          <w:sz w:val="22"/>
          <w:szCs w:val="22"/>
        </w:rPr>
        <w:t xml:space="preserve">A clear step-up: 1 installment averages R$100.85; 4 installments averages R$164.69; 8 installments averages R$308.22.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Installments are functioning as intended — enabling larger purchases. Any future promotional push to raise AOV should consider installment-count incentives.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Q13. Marketing spend vs. revenue — is efficiency improving? (synthetic spend data)</w:t>
      </w:r>
    </w:p>
    <w:p>
      <w:pPr>
        <w:spacing w:after="160"/>
      </w:pPr>
      <w:r>
        <w:rPr>
          <w:sz w:val="22"/>
          <w:szCs w:val="22"/>
        </w:rPr>
        <w:t xml:space="preserve">Revenue-per-spend-unit ranged from ~20.6 (Jan 2018) to ~28.3 (Jul 2018), with no clear sustained trend.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On this synthetic spend model, there's no strong evidence marketing efficiency is degrading as Vento scales — but the flat channel-share assumption behind the synthetic data means this finding is illustrative of the method, not a real claim about Vento's actual channel performance.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Q14. What share of revenue comes from repeat customers?</w:t>
      </w:r>
    </w:p>
    <w:p>
      <w:pPr>
        <w:spacing w:after="160"/>
      </w:pPr>
      <w:r>
        <w:rPr>
          <w:sz w:val="22"/>
          <w:szCs w:val="22"/>
        </w:rPr>
        <w:t xml:space="preserve">Repeat customers: 2,801 people (3.0% of the base) generate R$864,187 — 5.6% of total revenue.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Repeat customers already punch above their numeric weight (3.0% of customers → 5.6% of revenue), strengthening the case for retention investment even on a marketplace where most purchases are naturally one-time.</w:t>
      </w:r>
    </w:p>
    <w:p>
      <w:pPr>
        <w:pStyle w:val="Heading1"/>
        <w:spacing w:before="200"/>
      </w:pPr>
      <w:r>
        <w:t xml:space="preserve">Customers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Q15. How does spend differ between repeat and one-time customers?</w:t>
      </w:r>
    </w:p>
    <w:p>
      <w:pPr>
        <w:spacing w:after="160"/>
      </w:pPr>
      <w:r>
        <w:rPr>
          <w:sz w:val="22"/>
          <w:szCs w:val="22"/>
        </w:rPr>
        <w:t xml:space="preserve">Repeat customers: R$308.53 average total spend, R$145.85 average order value. One-time customers: R$160.73 for both.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Repeat customers are worth roughly 2x a one-time customer in total, even though their individual orders are slightly smaller — the value is in frequency, not basket size.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Q16. Which states show the highest average customer lifetime value?</w:t>
      </w:r>
    </w:p>
    <w:p>
      <w:pPr>
        <w:spacing w:after="160"/>
      </w:pPr>
      <w:r>
        <w:rPr>
          <w:sz w:val="22"/>
          <w:szCs w:val="22"/>
        </w:rPr>
        <w:t xml:space="preserve">Paraíba (PB): R$274.29. Rondônia (RO): R$247.12. Alagoas (AL): R$243.34. Pará (PA): R$229.96. Piauí (PI): R$226.68 — overlapping with the worst-delivery-performance states from Q7.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Customers in harder-to-serve regions are actually spending more per head, not less — meaning the delivery problems in Q7 represent real revenue risk if left unaddressed.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Q17. Does delivery experience affect review score?</w:t>
      </w:r>
    </w:p>
    <w:p>
      <w:pPr>
        <w:spacing w:after="160"/>
      </w:pPr>
      <w:r>
        <w:rPr>
          <w:sz w:val="22"/>
          <w:szCs w:val="22"/>
        </w:rPr>
        <w:t xml:space="preserve">On-time deliveries average a 4.30 review score; late deliveries average 2.56 — a 1.74-point gap.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This is the single clearest, most actionable relationship in the whole analysis. Every percentage point shaved off the 8.11% late-delivery rate has a direct, measurable effect on customer satisfaction.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Q18. Who are the top 10 customers by total spend?</w:t>
      </w:r>
    </w:p>
    <w:p>
      <w:pPr>
        <w:spacing w:after="160"/>
      </w:pPr>
      <w:r>
        <w:rPr>
          <w:sz w:val="22"/>
          <w:szCs w:val="22"/>
        </w:rPr>
        <w:t xml:space="preserve">Individual top spenders range from R$4,655.88 to R$13,664.08, concentrated in RJ, ES, MS, SP, MG, PB, RS.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These are almost all single-order customers (only 1 of the top 10 placed more than one order) — Vento's highest-value transactions are large one-off purchases, not loyal repeat buyers.</w:t>
      </w:r>
    </w:p>
    <w:p>
      <w:pPr>
        <w:pStyle w:val="Heading1"/>
        <w:spacing w:before="200"/>
      </w:pPr>
      <w:r>
        <w:t xml:space="preserve">Product / Category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Q19. Which categories have the highest average item price?</w:t>
      </w:r>
    </w:p>
    <w:p>
      <w:pPr>
        <w:spacing w:after="160"/>
      </w:pPr>
      <w:r>
        <w:rPr>
          <w:sz w:val="22"/>
          <w:szCs w:val="22"/>
        </w:rPr>
        <w:t xml:space="preserve">Computers: R$1,098.34/item. Home Appliances 2: R$476.12. Agro Industry &amp; Commerce: R$342.12. Musical Instruments: R$281.62. Small Appliances: R$280.78.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These are low-volume, high-ticket categories, structurally different from the high-revenue-by-volume categories in Phase 7 — a dashboard should report “top by revenue” and “top by average item value” as separate views.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Q20. Which categories have the worst average review scores?</w:t>
      </w:r>
    </w:p>
    <w:p>
      <w:pPr>
        <w:spacing w:after="160"/>
      </w:pPr>
      <w:r>
        <w:rPr>
          <w:sz w:val="22"/>
          <w:szCs w:val="22"/>
        </w:rPr>
        <w:t xml:space="preserve">Office Furniture: 3.49. Fashion Male Clothing: 3.64. Fixed Telephony: 3.68. Audio: 3.83. Uncategorized: 3.84.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Office Furniture stands out as a genuine underperformer worth a category-level quality review (packaging, product-description accuracy, or delivery handling for bulky items).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Q21. Which categories carry the highest freight-to-price ratio?</w:t>
      </w:r>
    </w:p>
    <w:p>
      <w:pPr>
        <w:spacing w:after="160"/>
      </w:pPr>
      <w:r>
        <w:rPr>
          <w:sz w:val="22"/>
          <w:szCs w:val="22"/>
        </w:rPr>
        <w:t xml:space="preserve">Christmas Supplies: 0.367 (freight is 37% of item price). Signaling &amp; Security: 0.303. Food &amp; Drink: 0.297. Electronics: 0.291. Furniture Living Room: 0.261.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Christmas Supplies customers are paying nearly as much in shipping as in product price — a candidate for free-shipping-threshold or bundled-shipping promotions during its seasonal window.</w:t>
      </w:r>
    </w:p>
    <w:p>
      <w:pPr>
        <w:pStyle w:val="Heading1"/>
        <w:spacing w:before="200"/>
      </w:pPr>
      <w:r>
        <w:t xml:space="preserve">Risk / Anomalies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Q22. Composite seller risk (volume × late-delivery rate × low review score)</w:t>
      </w:r>
    </w:p>
    <w:p>
      <w:pPr>
        <w:spacing w:after="160"/>
      </w:pPr>
      <w:r>
        <w:rPr>
          <w:sz w:val="22"/>
          <w:szCs w:val="22"/>
        </w:rPr>
        <w:t xml:space="preserve">The single highest-risk seller (26 orders) combines an 88.5% late-delivery rate with a 2.57 average review score. The next tier (15–115 orders) shows late rates of 21.7%–50% paired with review scores of 1.72–3.30.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This ranked list is the direct, actionable answer to the client's original Upwork ask — “which sellers are hurting our delivery/review performance.” These 8 sellers are candidates for a performance-improvement conversation or probation.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Q23. Which payment method has the highest reconciliation-mismatch rate?</w:t>
      </w:r>
    </w:p>
    <w:p>
      <w:pPr>
        <w:spacing w:after="160"/>
      </w:pPr>
      <w:r>
        <w:rPr>
          <w:sz w:val="22"/>
          <w:szCs w:val="22"/>
        </w:rPr>
        <w:t xml:space="preserve">Debit card: 0.458% of transactions flagged. Credit card: 0.326%. Voucher, boleto: 0%.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Mismatches concentrate in the two methods that touch a real-time bank authorization step, consistent with partial authorizations or timing gaps — worth a conversation with the payment processor specifically about debit-card reconciliation.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Q24. Are cancellations concentrated or diffuse?</w:t>
      </w:r>
    </w:p>
    <w:p>
      <w:pPr>
        <w:spacing w:after="160"/>
      </w:pPr>
      <w:r>
        <w:rPr>
          <w:sz w:val="22"/>
          <w:szCs w:val="22"/>
        </w:rPr>
        <w:t xml:space="preserve">(See Q9 — genuinely diffuse: 10.8% of sellers affected, low severity per seller.)</w:t>
      </w:r>
    </w:p>
    <w:p>
      <w:pPr>
        <w:spacing w:after="80" w:before="200"/>
      </w:pPr>
      <w:r>
        <w:rPr>
          <w:b/>
          <w:bCs/>
          <w:sz w:val="23"/>
          <w:szCs w:val="23"/>
        </w:rPr>
        <w:t xml:space="preserve">Q25. Does order value predict late-delivery risk?</w:t>
      </w:r>
    </w:p>
    <w:p>
      <w:pPr>
        <w:spacing w:after="160"/>
      </w:pPr>
      <w:r>
        <w:rPr>
          <w:sz w:val="22"/>
          <w:szCs w:val="22"/>
        </w:rPr>
        <w:t xml:space="preserve">&lt;R$50: 7.06% late. R$50–150: 8.00%. R$150–300: 8.56%. R$300+: 9.43%.</w:t>
      </w:r>
    </w:p>
    <w:p>
      <w:pPr>
        <w:spacing w:after="220"/>
      </w:pPr>
      <w:r>
        <w:rPr>
          <w:b/>
          <w:bCs/>
          <w:i/>
          <w:iCs/>
          <w:sz w:val="22"/>
          <w:szCs w:val="22"/>
        </w:rPr>
        <w:t xml:space="preserve">Interpretation: </w:t>
      </w:r>
      <w:r>
        <w:rPr>
          <w:i/>
          <w:iCs/>
          <w:sz w:val="22"/>
          <w:szCs w:val="22"/>
        </w:rPr>
        <w:t xml:space="preserve">A mild, consistent upward trend — higher-value orders are slightly more likely to be late, not less, which runs against the intuition that higher-value orders get prioritized handling. Worth keeping in the seller-risk model.</w:t>
      </w:r>
    </w:p>
    <w:p>
      <w:pPr>
        <w:pStyle w:val="Heading1"/>
        <w:spacing w:before="200"/>
      </w:pPr>
      <w:r>
        <w:t xml:space="preserve">What this sets up for Phase 9 (Dashboard)</w:t>
      </w:r>
    </w:p>
    <w:p>
      <w:pPr>
        <w:spacing w:after="160"/>
      </w:pPr>
      <w:r>
        <w:rPr>
          <w:sz w:val="22"/>
          <w:szCs w:val="22"/>
        </w:rPr>
        <w:t xml:space="preserve">Four clear stories emerged that should anchor the dashboard's information hierarchy:</w:t>
      </w:r>
    </w:p>
    <w:p>
      <w:pPr>
        <w:spacing w:after="160"/>
      </w:pPr>
      <w:r>
        <w:rPr>
          <w:sz w:val="22"/>
          <w:szCs w:val="22"/>
        </w:rPr>
        <w:t xml:space="preserve">1. Growth is real (Q1) — despite the flat monthly chart, YoY growth is +136% revenue.</w:t>
      </w:r>
    </w:p>
    <w:p>
      <w:pPr>
        <w:spacing w:after="160"/>
      </w:pPr>
      <w:r>
        <w:rPr>
          <w:sz w:val="22"/>
          <w:szCs w:val="22"/>
        </w:rPr>
        <w:t xml:space="preserve">2. Delivery time is the single biggest lever on customer satisfaction (Q17) — a 1.74-point review-score gap between on-time and late orders.</w:t>
      </w:r>
    </w:p>
    <w:p>
      <w:pPr>
        <w:spacing w:after="160"/>
      </w:pPr>
      <w:r>
        <w:rPr>
          <w:sz w:val="22"/>
          <w:szCs w:val="22"/>
        </w:rPr>
        <w:t xml:space="preserve">3. Seller risk and order volume are different things (Q5 vs Q22) — the dashboard must not conflate “biggest sellers” with “riskiest sellers.”</w:t>
      </w:r>
    </w:p>
    <w:p>
      <w:pPr>
        <w:spacing w:after="160"/>
      </w:pPr>
      <w:r>
        <w:rPr>
          <w:sz w:val="22"/>
          <w:szCs w:val="22"/>
        </w:rPr>
        <w:t xml:space="preserve">4. Northeastern states are underserved but high-value (Q7 + Q16) — a genuine growth/retention risk if delivery performance there isn't addressed.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2026-09-14T19:10:18.497Z</dcterms:created>
  <dcterms:modified xsi:type="dcterms:W3CDTF">2026-09-14T19:10:18.497Z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