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  <w:jc w:val="left"/>
      </w:pPr>
      <w:r>
        <w:rPr>
          <w:rFonts w:ascii="Calibri" w:hAnsi="Calibri" w:eastAsia="Microsoft YaHei"/>
          <w:b/>
          <w:color w:val="174A5B"/>
          <w:sz w:val="40"/>
        </w:rPr>
        <w:t>红外硫系玻璃基底 DLC 薄膜</w:t>
        <w:br/>
        <w:t>三级大纲与审计写作骨架</w:t>
      </w:r>
    </w:p>
    <w:p>
      <w:pPr>
        <w:spacing w:after="240"/>
      </w:pPr>
      <w:r>
        <w:rPr>
          <w:rFonts w:ascii="Calibri" w:hAnsi="Calibri" w:eastAsia="Microsoft YaHei"/>
          <w:color w:val="5F6B73"/>
          <w:sz w:val="22"/>
        </w:rPr>
        <w:t>材料基础、制备技术与应用进展 | Evidence-traceable review outline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项目 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初始化项目时填写；与 project_state.yaml 一致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综述类型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在 Task 02 批准 Narrative Review 或 Systematic Review 后填写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大纲版本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批准版本不得覆盖；新版本通过 SUPERSEDED 关系连接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证据门禁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核心事实 ≥ V3；机制、定量比较与图表数据 ≥ V4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Style preset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compact_reference_guide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Named override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中文字符使用 Microsoft YaHei 作为 East Asian fallback；标题 20 pt #174A5B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状态门禁：本模板只能在 Task 20 的三级大纲获明确批准后用于 Task 21B 写作。每章结束后暂停；未经批准不得继续下一章。</w:t>
            </w:r>
          </w:p>
        </w:tc>
      </w:tr>
    </w:tbl>
    <w:p>
      <w:pPr>
        <w:numPr>
          <w:ilvl w:val="0"/>
          <w:numId w:val="42"/>
        </w:numPr>
        <w:pStyle w:val="Heading1"/>
      </w:pPr>
      <w:r>
        <w:t>引言与综述边界</w:t>
      </w:r>
    </w:p>
    <w:p>
      <w:pPr>
        <w:numPr>
          <w:ilvl w:val="1"/>
          <w:numId w:val="42"/>
        </w:numPr>
        <w:pStyle w:val="Heading2"/>
      </w:pPr>
      <w:r>
        <w:t>红外窗口的防护需求与应用背景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把服役环境、透过波段和失效模式连接到涂层需求；用 Source_ID 区分工程背景与直接证据。</w:t>
      </w:r>
    </w:p>
    <w:p>
      <w:pPr>
        <w:numPr>
          <w:ilvl w:val="1"/>
          <w:numId w:val="42"/>
        </w:numPr>
        <w:pStyle w:val="Heading2"/>
      </w:pPr>
      <w:r>
        <w:t>综述范围、术语和证据方法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明确硫系玻璃、DLC 类型、工艺、性能、应用、时间与语言边界；说明 Narrative 或 Systematic 分支。</w:t>
      </w:r>
    </w:p>
    <w:p>
      <w:pPr>
        <w:numPr>
          <w:ilvl w:val="0"/>
          <w:numId w:val="42"/>
        </w:numPr>
        <w:pStyle w:val="Heading1"/>
      </w:pPr>
      <w:r>
        <w:t>红外硫系玻璃基底的材料基础</w:t>
      </w:r>
    </w:p>
    <w:p>
      <w:pPr>
        <w:numPr>
          <w:ilvl w:val="1"/>
          <w:numId w:val="42"/>
        </w:numPr>
        <w:pStyle w:val="Heading2"/>
      </w:pPr>
      <w:r>
        <w:t>组成—结构—红外性能关系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比较玻璃组成、声子吸收、折射率、软化温度与环境稳定性；定量值必须带条件和原文位置。</w:t>
      </w:r>
    </w:p>
    <w:p>
      <w:pPr>
        <w:numPr>
          <w:ilvl w:val="1"/>
          <w:numId w:val="42"/>
        </w:numPr>
        <w:pStyle w:val="Heading2"/>
      </w:pPr>
      <w:r>
        <w:t>表面加工损伤与镀膜相容性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综合粗糙度、缺陷、热膨胀、温度上限和清洗敏感性，避免把单一基底结论外推到全部硫系玻璃。</w:t>
      </w:r>
    </w:p>
    <w:p>
      <w:pPr>
        <w:numPr>
          <w:ilvl w:val="0"/>
          <w:numId w:val="42"/>
        </w:numPr>
        <w:pStyle w:val="Heading1"/>
      </w:pPr>
      <w:r>
        <w:t>DLC 膜层的结构与光学基础</w:t>
      </w:r>
    </w:p>
    <w:p>
      <w:pPr>
        <w:numPr>
          <w:ilvl w:val="1"/>
          <w:numId w:val="42"/>
        </w:numPr>
        <w:pStyle w:val="Heading2"/>
      </w:pPr>
      <w:r>
        <w:t>键合结构、缺陷与应力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区分 sp2/sp3、氢含量、密度和应力的测量与推断；Raman 拟合不得直接等同于精确 sp3 含量。</w:t>
      </w:r>
    </w:p>
    <w:p>
      <w:pPr>
        <w:numPr>
          <w:ilvl w:val="1"/>
          <w:numId w:val="42"/>
        </w:numPr>
        <w:pStyle w:val="Heading2"/>
      </w:pPr>
      <w:r>
        <w:t>光学常数与红外响应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在波长、角度、偏振、膜厚和模型条件下比较 n、k、透射、反射和吸收，记录拟合模型与不确定性。</w:t>
      </w:r>
    </w:p>
    <w:p>
      <w:pPr>
        <w:numPr>
          <w:ilvl w:val="0"/>
          <w:numId w:val="42"/>
        </w:numPr>
        <w:pStyle w:val="Heading1"/>
      </w:pPr>
      <w:r>
        <w:t>制备技术与工艺窗口</w:t>
      </w:r>
    </w:p>
    <w:p>
      <w:pPr>
        <w:numPr>
          <w:ilvl w:val="1"/>
          <w:numId w:val="42"/>
        </w:numPr>
        <w:pStyle w:val="Heading2"/>
      </w:pPr>
      <w:r>
        <w:t>PECVD、磁控溅射与离子辅助路线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比较能量输入、温度、沉积速率、均匀性、应力和基底损伤；把设备差异作为跨研究比较条件。</w:t>
      </w:r>
    </w:p>
    <w:p>
      <w:pPr>
        <w:numPr>
          <w:ilvl w:val="1"/>
          <w:numId w:val="42"/>
        </w:numPr>
        <w:pStyle w:val="Heading2"/>
      </w:pPr>
      <w:r>
        <w:t>FCVA、PLD 与复合沉积路线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评估高离化率、颗粒缺陷、过滤、放大和复杂曲面适用性；工程结论需要规模证据。</w:t>
      </w:r>
    </w:p>
    <w:p>
      <w:pPr>
        <w:numPr>
          <w:ilvl w:val="0"/>
          <w:numId w:val="42"/>
        </w:numPr>
        <w:pStyle w:val="Heading1"/>
      </w:pPr>
      <w:r>
        <w:t>界面工程与失效控制</w:t>
      </w:r>
    </w:p>
    <w:p>
      <w:pPr>
        <w:numPr>
          <w:ilvl w:val="1"/>
          <w:numId w:val="42"/>
        </w:numPr>
        <w:pStyle w:val="Heading2"/>
      </w:pPr>
      <w:r>
        <w:t>清洗、活化与过渡层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追踪表面化学、等离子活化、Si/Ge 等过渡层及梯度设计对附着和光学损耗的影响。</w:t>
      </w:r>
    </w:p>
    <w:p>
      <w:pPr>
        <w:numPr>
          <w:ilvl w:val="1"/>
          <w:numId w:val="42"/>
        </w:numPr>
        <w:pStyle w:val="Heading2"/>
      </w:pPr>
      <w:r>
        <w:t>残余应力、裂纹与剥落机制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分别陈述观察结果、作者解释和跨文献判断；因果表述需排除膜厚、温度和缺陷等混杂因素。</w:t>
      </w:r>
    </w:p>
    <w:p>
      <w:pPr>
        <w:numPr>
          <w:ilvl w:val="0"/>
          <w:numId w:val="42"/>
        </w:numPr>
        <w:pStyle w:val="Heading1"/>
      </w:pPr>
      <w:r>
        <w:t>综合性能与评价方法</w:t>
      </w:r>
    </w:p>
    <w:p>
      <w:pPr>
        <w:numPr>
          <w:ilvl w:val="1"/>
          <w:numId w:val="42"/>
        </w:numPr>
        <w:pStyle w:val="Heading2"/>
      </w:pPr>
      <w:r>
        <w:t>光学、机械与环境性能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按相同测试条件比较透射、硬度、模量、附着、磨损、湿热、盐雾、风沙与热循环，禁止无条件横向排名。</w:t>
      </w:r>
    </w:p>
    <w:p>
      <w:pPr>
        <w:numPr>
          <w:ilvl w:val="1"/>
          <w:numId w:val="42"/>
        </w:numPr>
        <w:pStyle w:val="Heading2"/>
      </w:pPr>
      <w:r>
        <w:t>表征方法与证据质量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建立光谱、椭偏、Raman、XPS、SEM、AFM、压痕和划痕的证据矩阵，说明方法局限与互证关系。</w:t>
      </w:r>
    </w:p>
    <w:p>
      <w:pPr>
        <w:numPr>
          <w:ilvl w:val="0"/>
          <w:numId w:val="42"/>
        </w:numPr>
        <w:pStyle w:val="Heading1"/>
      </w:pPr>
      <w:r>
        <w:t>应用进展与工程化</w:t>
      </w:r>
    </w:p>
    <w:p>
      <w:pPr>
        <w:numPr>
          <w:ilvl w:val="1"/>
          <w:numId w:val="42"/>
        </w:numPr>
        <w:pStyle w:val="Heading2"/>
      </w:pPr>
      <w:r>
        <w:t>红外成像、探测与航天窗口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连接真实器件指标、服役条件和标准要求；实验室样片结果不能直接替代系统级寿命证据。</w:t>
      </w:r>
    </w:p>
    <w:p>
      <w:pPr>
        <w:numPr>
          <w:ilvl w:val="1"/>
          <w:numId w:val="42"/>
        </w:numPr>
        <w:pStyle w:val="Heading2"/>
      </w:pPr>
      <w:r>
        <w:t>大口径、曲面、均匀性与成本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综合装夹、温控、过程监控、一致性、良率和产业化成本；明确公开证据不足之处。</w:t>
      </w:r>
    </w:p>
    <w:p>
      <w:pPr>
        <w:numPr>
          <w:ilvl w:val="0"/>
          <w:numId w:val="42"/>
        </w:numPr>
        <w:pStyle w:val="Heading1"/>
      </w:pPr>
      <w:r>
        <w:t>共识、争议与研究空白</w:t>
      </w:r>
    </w:p>
    <w:p>
      <w:pPr>
        <w:numPr>
          <w:ilvl w:val="1"/>
          <w:numId w:val="42"/>
        </w:numPr>
        <w:pStyle w:val="Heading2"/>
      </w:pPr>
      <w:r>
        <w:t>跨文献共识和条件性争议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按材料、工艺、测试和表征条件解释一致与冲突；所有关系必须连接真实 Source_ID。</w:t>
      </w:r>
    </w:p>
    <w:p>
      <w:pPr>
        <w:numPr>
          <w:ilvl w:val="1"/>
          <w:numId w:val="42"/>
        </w:numPr>
        <w:pStyle w:val="Heading2"/>
      </w:pPr>
      <w:r>
        <w:t>证据缺口与研究路线图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从 Claim–Evidence Matrix 和 Literature Map 提炼标准、寿命、界面直接证据及工程放大缺口。</w:t>
      </w:r>
    </w:p>
    <w:p>
      <w:pPr>
        <w:numPr>
          <w:ilvl w:val="0"/>
          <w:numId w:val="42"/>
        </w:numPr>
        <w:pStyle w:val="Heading1"/>
      </w:pPr>
      <w:r>
        <w:t>结论</w:t>
      </w:r>
    </w:p>
    <w:p>
      <w:pPr>
        <w:numPr>
          <w:ilvl w:val="1"/>
          <w:numId w:val="42"/>
        </w:numPr>
        <w:pStyle w:val="Heading2"/>
      </w:pPr>
      <w:r>
        <w:t>材料—工艺—界面—性能综合判断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只总结正文已建立且达到门禁的主张，保留适用条件、局限和证据强度。</w:t>
      </w:r>
    </w:p>
    <w:p>
      <w:pPr>
        <w:numPr>
          <w:ilvl w:val="1"/>
          <w:numId w:val="42"/>
        </w:numPr>
        <w:pStyle w:val="Heading2"/>
      </w:pPr>
      <w:r>
        <w:t>未来优先研究方向</w:t>
      </w:r>
    </w:p>
    <w:p>
      <w:pPr>
        <w:numPr>
          <w:ilvl w:val="2"/>
          <w:numId w:val="42"/>
        </w:numPr>
        <w:pStyle w:val="Heading3"/>
      </w:pPr>
      <w:r>
        <w:t>核心命题、证据配置与边界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按证据缺口、可验证问题、所需方法和预期工程价值排序，避免空泛展望。</w:t>
      </w:r>
    </w:p>
    <w:p>
      <w:r>
        <w:br w:type="page"/>
      </w:r>
    </w:p>
    <w:p>
      <w:pPr>
        <w:numPr>
          <w:ilvl w:val="0"/>
          <w:numId w:val="42"/>
        </w:numPr>
        <w:pStyle w:val="Heading1"/>
      </w:pPr>
      <w:r>
        <w:t>三级标题证据配置表</w:t>
      </w:r>
    </w:p>
    <w:p>
      <w:pPr>
        <w:keepNext/>
        <w:spacing w:before="80" w:after="80"/>
      </w:pPr>
      <w:r>
        <w:t>表前说明：每个三级标题至少连接一个核心命题、一个可核验来源和一个质量门禁。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700"/>
        <w:gridCol w:w="21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三级标题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核心命题 / Claim_ID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Source_ID 与原文位置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b/>
                <w:sz w:val="20"/>
              </w:rPr>
              <w:t>冲突、局限与图表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填写已批准标题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登记命题及最低核验等级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登记来源和页码、章节、图或表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登记冲突证据、边界和追踪 ID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填写已批准标题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登记命题及最低核验等级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登记来源和页码、章节、图或表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登记冲突证据、边界和追踪 ID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填写已批准标题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登记命题及最低核验等级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登记来源和页码、章节、图或表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登记冲突证据、边界和追踪 ID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填写已批准标题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登记命题及最低核验等级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登记来源和页码、章节、图或表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80" w:line="240" w:lineRule="auto"/>
            </w:pPr>
            <w:r>
              <w:rPr>
                <w:rFonts w:ascii="Calibri" w:hAnsi="Calibri" w:eastAsia="Microsoft YaHei"/>
                <w:sz w:val="20"/>
              </w:rPr>
              <w:t>登记冲突证据、边界和追踪 ID</w:t>
            </w:r>
          </w:p>
        </w:tc>
      </w:tr>
    </w:tbl>
    <w:p>
      <w:pPr>
        <w:numPr>
          <w:ilvl w:val="0"/>
          <w:numId w:val="42"/>
        </w:numPr>
        <w:pStyle w:val="Heading1"/>
      </w:pPr>
      <w:r>
        <w:t>参考文献</w:t>
      </w:r>
    </w:p>
    <w:p>
      <w:pPr>
        <w:keepLines/>
      </w:pPr>
      <w:r>
        <w:rPr>
          <w:rFonts w:ascii="Calibri" w:hAnsi="Calibri" w:eastAsia="Microsoft YaHei"/>
          <w:b/>
        </w:rPr>
        <w:t>写作与证据要求：</w:t>
      </w:r>
      <w:r>
        <w:rPr>
          <w:rFonts w:ascii="Calibri" w:hAnsi="Calibri" w:eastAsia="Microsoft YaHei"/>
        </w:rPr>
        <w:t>仅纳入正文实际引用且题录已核验的来源；提交版移除内部 ID，但保留正式引文和必要版权声明。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5F6B73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AAB7BE"/>
      </w:pBdr>
    </w:pPr>
    <w:r>
      <w:rPr>
        <w:rFonts w:ascii="Calibri" w:hAnsi="Calibri"/>
        <w:color w:val="5F6B73"/>
        <w:sz w:val="18"/>
      </w:rPr>
      <w:t>Optical Coating Literature Review | Audit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lvlText w:val="%1"/>
      <w:suff w:val="space"/>
      <w:pPr>
        <w:ind w:left="0" w:hanging="0"/>
      </w:pPr>
    </w:lvl>
    <w:lvl w:ilvl="1">
      <w:start w:val="1"/>
      <w:numFmt w:val="decimal"/>
      <w:lvlText w:val="%1.%2"/>
      <w:suff w:val="space"/>
      <w:pPr>
        <w:ind w:left="0" w:hanging="0"/>
      </w:pPr>
    </w:lvl>
    <w:lvl w:ilvl="2">
      <w:start w:val="1"/>
      <w:numFmt w:val="decimal"/>
      <w:lvlText w:val="%1.%2.%3"/>
      <w:suff w:val="space"/>
      <w:pPr>
        <w:ind w:left="0" w:hanging="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红外硫系玻璃基底 DLC 薄膜三级大纲与审计写作骨架</dc:title>
  <dc:subject>Preset: compact_reference_guide; evidence-traceable review template</dc:subject>
  <dc:creator>build-optical-coating-review</dc:creator>
  <cp:keywords>DLC, chalcogenide glass, optical coating, literature review, evidence traceability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