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57425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center"/>
        <w:rPr/>
      </w:pPr>
      <w:r w:rsidDel="00000000" w:rsidR="00000000" w:rsidRPr="00000000">
        <w:rPr>
          <w:rtl w:val="1"/>
        </w:rPr>
        <w:t xml:space="preserve">دانشکده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آمار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</w:p>
    <w:p w:rsidR="00000000" w:rsidDel="00000000" w:rsidP="00000000" w:rsidRDefault="00000000" w:rsidRPr="00000000" w14:paraId="00000009">
      <w:pPr>
        <w:bidi w:val="1"/>
        <w:jc w:val="center"/>
        <w:rPr/>
      </w:pP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</w:p>
    <w:p w:rsidR="00000000" w:rsidDel="00000000" w:rsidP="00000000" w:rsidRDefault="00000000" w:rsidRPr="00000000" w14:paraId="0000000A">
      <w:pPr>
        <w:bidi w:val="1"/>
        <w:jc w:val="center"/>
        <w:rPr/>
      </w:pP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B">
      <w:pPr>
        <w:bidi w:val="1"/>
        <w:jc w:val="center"/>
        <w:rPr/>
      </w:pP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مغزی</w:t>
      </w:r>
    </w:p>
    <w:p w:rsidR="00000000" w:rsidDel="00000000" w:rsidP="00000000" w:rsidRDefault="00000000" w:rsidRPr="00000000" w14:paraId="0000000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/>
      </w:pPr>
      <w:r w:rsidDel="00000000" w:rsidR="00000000" w:rsidRPr="00000000">
        <w:rPr>
          <w:rtl w:val="1"/>
        </w:rPr>
        <w:t xml:space="preserve">نگارش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jc w:val="center"/>
        <w:rPr/>
      </w:pPr>
      <w:r w:rsidDel="00000000" w:rsidR="00000000" w:rsidRPr="00000000">
        <w:rPr>
          <w:rtl w:val="1"/>
        </w:rPr>
        <w:t xml:space="preserve">فاطمه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جدیدی</w:t>
      </w:r>
    </w:p>
    <w:p w:rsidR="00000000" w:rsidDel="00000000" w:rsidP="00000000" w:rsidRDefault="00000000" w:rsidRPr="00000000" w14:paraId="00000014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center"/>
        <w:rPr/>
      </w:pPr>
      <w:r w:rsidDel="00000000" w:rsidR="00000000" w:rsidRPr="00000000">
        <w:rPr>
          <w:rtl w:val="1"/>
        </w:rPr>
        <w:t xml:space="preserve">استاد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center"/>
        <w:rPr/>
      </w:pPr>
      <w:r w:rsidDel="00000000" w:rsidR="00000000" w:rsidRPr="00000000">
        <w:rPr>
          <w:rtl w:val="1"/>
        </w:rPr>
        <w:t xml:space="preserve">دکتر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علیرضا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نعیمی</w:t>
      </w:r>
    </w:p>
    <w:p w:rsidR="00000000" w:rsidDel="00000000" w:rsidP="00000000" w:rsidRDefault="00000000" w:rsidRPr="00000000" w14:paraId="00000018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center"/>
        <w:rPr/>
      </w:pPr>
      <w:r w:rsidDel="00000000" w:rsidR="00000000" w:rsidRPr="00000000">
        <w:rPr>
          <w:rtl w:val="0"/>
        </w:rPr>
        <w:t xml:space="preserve">۱۴۰۳/۰۳/۲۵</w:t>
      </w:r>
    </w:p>
    <w:p w:rsidR="00000000" w:rsidDel="00000000" w:rsidP="00000000" w:rsidRDefault="00000000" w:rsidRPr="00000000" w14:paraId="0000001F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27622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1"/>
        </w:rPr>
        <w:t xml:space="preserve">چکیده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کانولوشن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مغناطیسی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کلیدواژه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AD-classification,  Convolutional neural network (CNN),  Magnetic resonance imaging (MRI)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Adaptive momentum estimation (Adam),  Glorot uniform weight initializer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مقدمه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۱.۱. </w:t>
      </w:r>
      <w:r w:rsidDel="00000000" w:rsidR="00000000" w:rsidRPr="00000000">
        <w:rPr>
          <w:rtl w:val="1"/>
        </w:rPr>
        <w:t xml:space="preserve">معرفی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۴۶.۸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سال</w:t>
      </w:r>
      <w:r w:rsidDel="00000000" w:rsidR="00000000" w:rsidRPr="00000000">
        <w:rPr>
          <w:rtl w:val="1"/>
        </w:rPr>
        <w:t xml:space="preserve"> ۲۰۵۰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۱۳۱.۵ </w:t>
      </w:r>
      <w:r w:rsidDel="00000000" w:rsidR="00000000" w:rsidRPr="00000000">
        <w:rPr>
          <w:rtl w:val="1"/>
        </w:rPr>
        <w:t xml:space="preserve">میلیون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proposed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اکتساب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thresholding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augmentation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Glorot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initializer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optimizer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۹۷.۵٪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یافت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Alzheimer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Disease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گروه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افرادی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مبتلا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bidi w:val="1"/>
        <w:ind w:left="720" w:hanging="36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Cognitively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Norma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CN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: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طبقه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افرادی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شناختی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نرمال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گرفته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شوند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مبتلا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نیستند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چارچوب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CNN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تمایز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کلاس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MRI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آموزش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دیده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وظیفه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طبقه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باینری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آیا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اسکن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MRI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فرد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مبتلا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فرد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نظر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شناختی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نرمال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چارچوب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همچنین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آزمایش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چند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طبقه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بندی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شود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اما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جزئیات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کلاس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اضافی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مقاله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ارائه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نشده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تجربی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مدرن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نویسندگان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متمرکز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پیامدهای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بالقوه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jc w:val="left"/>
        <w:rPr/>
      </w:pPr>
      <w:r w:rsidDel="00000000" w:rsidR="00000000" w:rsidRPr="00000000">
        <w:rPr>
          <w:rtl w:val="0"/>
        </w:rPr>
        <w:t xml:space="preserve">۲.۱.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دادگان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9">
      <w:pPr>
        <w:bidi w:val="1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مجموعه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ابتکار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تصویربرداری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عصبی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ADNI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پایگاه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دسترس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عموم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مربوط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جمع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آوری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اشتراک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گذارد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مجموعه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بالینی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تصویربرداری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ژنتیکی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بیوشیمیایی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افراد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مبتلا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اختلالات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شناختی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خفیف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افراد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سالم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محققان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توانند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درک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بهتر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پیشرفت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شناسایی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نشانگرهای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زیستی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توسعه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ابزارها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درمان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جدید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تشخیصی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مجموعه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دسترسی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داشته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باشند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jc w:val="left"/>
        <w:rPr/>
      </w:pP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افراد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خفیف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نشانگرهای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محققان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شناسایی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تشخیص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زودهنگام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ارزشمند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نوآورانه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تحقیقات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عصبی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پزشکی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:‌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اکتساب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حاشیه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اولین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'.</w:t>
      </w:r>
      <w:r w:rsidDel="00000000" w:rsidR="00000000" w:rsidRPr="00000000">
        <w:rPr>
          <w:rtl w:val="0"/>
        </w:rPr>
        <w:t xml:space="preserve">nii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'.</w:t>
      </w:r>
      <w:r w:rsidDel="00000000" w:rsidR="00000000" w:rsidRPr="00000000">
        <w:rPr>
          <w:rtl w:val="0"/>
        </w:rPr>
        <w:t xml:space="preserve">png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مغز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حاشیه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**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خاکستری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خاکستری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**</w:t>
      </w:r>
      <w:r w:rsidDel="00000000" w:rsidR="00000000" w:rsidRPr="00000000">
        <w:rPr>
          <w:rtl w:val="0"/>
        </w:rPr>
        <w:t xml:space="preserve">Adaptive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Thresholding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global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threshold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آستانه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کنتراست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**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مقیاس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خاکستری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(۲۵۶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۲۵۶)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**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(۱۲۸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۱۲۸)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(۶۴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۶۴)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ترانسفورماتور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گسترش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جابجایی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**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**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کانولوشن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ادغام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ReLU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SoftMax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6. **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یکنواخت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Glorot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همگرایی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اهمیت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تاکید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استراتژی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اینجا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**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تصادفی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آزمایشی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۸۰%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۲۰%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تضمین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۹۰٪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۱۰٪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3. **</w:t>
      </w:r>
      <w:r w:rsidDel="00000000" w:rsidR="00000000" w:rsidRPr="00000000">
        <w:rPr>
          <w:rtl w:val="0"/>
        </w:rPr>
        <w:t xml:space="preserve">Cross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Validation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اطمینان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**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شناخته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۶۰%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۴۰%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آل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**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تعمیم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۶، ۷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پیشنهادی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بیایید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تجزیه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۶: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**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(۱۲۸، ۱۲۸)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۰.۱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۰.۵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۱۸، ۳۲، ۶۴، ۱۲۸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۲۵۶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معیارهایی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Recall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Curve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AUC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tl w:val="0"/>
        </w:rPr>
        <w:t xml:space="preserve">Loss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Similarity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Coefficient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DSC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۹۹.۹۵۳٪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۱۰۰٪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​​۹۹.۹۸۷٪.</w:t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۷: </w:t>
      </w:r>
      <w:r w:rsidDel="00000000" w:rsidR="00000000" w:rsidRPr="00000000">
        <w:rPr>
          <w:rtl w:val="1"/>
        </w:rPr>
        <w:t xml:space="preserve">پارامترهای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**</w:t>
      </w:r>
    </w:p>
    <w:p w:rsidR="00000000" w:rsidDel="00000000" w:rsidP="00000000" w:rsidRDefault="00000000" w:rsidRPr="00000000" w14:paraId="000000EC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(۶۴، ۶۴)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۹۵.۹۶٪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۹۸.۲۶٪،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​​۹۷.۱۸٪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۹۴.۶۸٪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۹۷.۸۳٪،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متوسط</w:t>
      </w:r>
      <w:r w:rsidDel="00000000" w:rsidR="00000000" w:rsidRPr="00000000">
        <w:rPr>
          <w:rtl w:val="1"/>
        </w:rPr>
        <w:t xml:space="preserve"> ​​۹۶.۴۲٪ </w:t>
      </w:r>
      <w:r w:rsidDel="00000000" w:rsidR="00000000" w:rsidRPr="00000000">
        <w:rPr>
          <w:rtl w:val="1"/>
        </w:rPr>
        <w:t xml:space="preserve">متغیر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نتایج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نشان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دهد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تصاویر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اندازه</w:t>
      </w:r>
      <w:r w:rsidDel="00000000" w:rsidR="00000000" w:rsidRPr="00000000">
        <w:rPr>
          <w:b w:val="1"/>
          <w:rtl w:val="1"/>
        </w:rPr>
        <w:t xml:space="preserve"> (۱۲۸، ۱۲۸) </w:t>
      </w:r>
      <w:r w:rsidDel="00000000" w:rsidR="00000000" w:rsidRPr="00000000">
        <w:rPr>
          <w:b w:val="1"/>
          <w:rtl w:val="1"/>
        </w:rPr>
        <w:t xml:space="preserve">نتایج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بهتری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در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همه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آزمایش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ها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دارند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**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۸: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**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</w:t>
      </w:r>
      <w:r w:rsidDel="00000000" w:rsidR="00000000" w:rsidRPr="00000000">
        <w:rPr>
          <w:rtl w:val="1"/>
        </w:rPr>
        <w:t xml:space="preserve"> ۲۱۱۶۵۵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عوامل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افقی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جابجایی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(۶۴، ۶۴)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۰.۱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۰.۱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۲۵۶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  <w:r w:rsidDel="00000000" w:rsidR="00000000" w:rsidRPr="00000000">
        <w:rPr>
          <w:rtl w:val="1"/>
        </w:rPr>
        <w:t xml:space="preserve">. .</w:t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شرایط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MRI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ADNI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خلاصه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**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**: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میانگین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(۹۹.۹۸۷٪)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(۹۹.۹۸۱٪)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۶).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**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۰.۱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۹۰٪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۱۰٪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مداوم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پیکربندی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**</w:t>
      </w:r>
      <w:r w:rsidDel="00000000" w:rsidR="00000000" w:rsidRPr="00000000">
        <w:rPr>
          <w:rtl w:val="1"/>
        </w:rPr>
        <w:t xml:space="preserve">بچ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**: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۶۴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۷)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۲۵۶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۸)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تفاوت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نبودند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۶)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تقریبا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کوچکتر</w:t>
      </w:r>
      <w:r w:rsidDel="00000000" w:rsidR="00000000" w:rsidRPr="00000000">
        <w:rPr>
          <w:rtl w:val="1"/>
        </w:rPr>
        <w:t xml:space="preserve"> (۰.۱)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آموزش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چارچوب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CNN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آزمایش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متفاوت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مراحل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انجام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کار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12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لوکال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0"/>
        </w:rPr>
        <w:t xml:space="preserve"> ،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آپلود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تسهیل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پایتون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ضروری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zipfile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Dataset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zip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دایرکتوری</w:t>
      </w:r>
      <w:r w:rsidDel="00000000" w:rsidR="00000000" w:rsidRPr="00000000">
        <w:rPr>
          <w:rtl w:val="1"/>
        </w:rPr>
        <w:t xml:space="preserve"> «/</w:t>
      </w:r>
      <w:r w:rsidDel="00000000" w:rsidR="00000000" w:rsidRPr="00000000">
        <w:rPr>
          <w:rtl w:val="0"/>
        </w:rPr>
        <w:t xml:space="preserve">content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محیط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zipfile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ZipFile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("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1"/>
        </w:rPr>
        <w:t xml:space="preserve">")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extract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3 (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listdir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لیستی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چاپ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فرآیند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محتوای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عکس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دیتاست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5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تصویر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مجموعه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Alzheimer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Disease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Neuroimaging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Initiative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ADNI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color w:val="ffffff"/>
          <w:sz w:val="21"/>
          <w:szCs w:val="21"/>
          <w:highlight w:val="white"/>
          <w:rtl w:val="0"/>
        </w:rPr>
        <w:t xml:space="preserve">v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بارگیری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آماده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این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اسکریپت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ابتدا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کتابخانه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لازم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جمله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Pillow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PIL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NumPy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وارد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مسیرهای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پوشه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مجموعه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زیرپوشه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آن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مشخص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یکی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اختلال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شناختی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خفیف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MCI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دیگری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تصاویر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بیماری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آلزایمر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(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).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اسکریپت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فایل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موجود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پوشه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MCI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فهرست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محتویات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شامل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تأیید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سپس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فایل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تصویری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پوشه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MCI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AD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بارگیری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آنها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پردازش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بیشتر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آرایه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NumPy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تبدیل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کند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نهایت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،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اسکریپت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پنج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تصویر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اول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هر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دسته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را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استفاده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از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Matplotlib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نمایش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دهد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که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برای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بازرسی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بصری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و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تأیید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داده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ها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مفید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است</w:t>
      </w:r>
      <w:r w:rsidDel="00000000" w:rsidR="00000000" w:rsidRPr="00000000">
        <w:rPr>
          <w:sz w:val="21"/>
          <w:szCs w:val="21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jc w:val="left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6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762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ADNI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TensorFlow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گرداند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فراخوانی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[1، 0]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[0، 1]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Matplotlib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1"/>
        </w:rPr>
        <w:t xml:space="preserve">()»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جایی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، «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»)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0"/>
        </w:rPr>
        <w:t xml:space="preserve">labels = np.where(labels == 'AD', 1, 0)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شکل</w:t>
      </w:r>
      <w:r w:rsidDel="00000000" w:rsidR="00000000" w:rsidRPr="00000000">
        <w:rPr>
          <w:rtl w:val="1"/>
        </w:rPr>
        <w:t xml:space="preserve"> «(</w:t>
      </w:r>
      <w:r w:rsidDel="00000000" w:rsidR="00000000" w:rsidRPr="00000000">
        <w:rPr>
          <w:rtl w:val="0"/>
        </w:rPr>
        <w:t xml:space="preserve">labels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tl w:val="1"/>
        </w:rPr>
        <w:t xml:space="preserve">[0], 2)»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NumPy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اختصاص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باینری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arange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labels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shape</w:t>
      </w:r>
      <w:r w:rsidDel="00000000" w:rsidR="00000000" w:rsidRPr="00000000">
        <w:rPr>
          <w:rtl w:val="1"/>
        </w:rPr>
        <w:t xml:space="preserve">[0])»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ردیف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«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»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دریافت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شاخص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ستون</w:t>
      </w:r>
      <w:r w:rsidDel="00000000" w:rsidR="00000000" w:rsidRPr="00000000">
        <w:rPr>
          <w:rtl w:val="1"/>
        </w:rPr>
        <w:t xml:space="preserve"> (0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1،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آرایه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«[1، 0]»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«[0، 1]»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>
          <w:b w:val="1"/>
        </w:rPr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برچسب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قالبی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یادگیری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شبکه</w:t>
      </w:r>
      <w:r w:rsidDel="00000000" w:rsidR="00000000" w:rsidRPr="00000000">
        <w:rPr>
          <w:b w:val="1"/>
          <w:rtl w:val="1"/>
        </w:rPr>
        <w:t xml:space="preserve">‌</w:t>
      </w:r>
      <w:r w:rsidDel="00000000" w:rsidR="00000000" w:rsidRPr="00000000">
        <w:rPr>
          <w:b w:val="1"/>
          <w:rtl w:val="1"/>
        </w:rPr>
        <w:t xml:space="preserve">های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عصبی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که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معمولا</w:t>
      </w:r>
      <w:r w:rsidDel="00000000" w:rsidR="00000000" w:rsidRPr="00000000">
        <w:rPr>
          <w:b w:val="1"/>
          <w:rtl w:val="1"/>
        </w:rPr>
        <w:t xml:space="preserve">ً </w:t>
      </w:r>
      <w:r w:rsidDel="00000000" w:rsidR="00000000" w:rsidRPr="00000000">
        <w:rPr>
          <w:b w:val="1"/>
          <w:rtl w:val="1"/>
        </w:rPr>
        <w:t xml:space="preserve">به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ورودی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عددی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نیاز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دارند</w:t>
      </w:r>
      <w:r w:rsidDel="00000000" w:rsidR="00000000" w:rsidRPr="00000000">
        <w:rPr>
          <w:b w:val="1"/>
          <w:rtl w:val="1"/>
        </w:rPr>
        <w:t xml:space="preserve">، </w:t>
      </w:r>
      <w:r w:rsidDel="00000000" w:rsidR="00000000" w:rsidRPr="00000000">
        <w:rPr>
          <w:b w:val="1"/>
          <w:rtl w:val="1"/>
        </w:rPr>
        <w:t xml:space="preserve">قابل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استفاده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باشد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آلزایمر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رمزگذاری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MCI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بیاموزد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زیرا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واضحی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عضویت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A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jc w:val="left"/>
        <w:rPr/>
      </w:pP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B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5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1D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bidi w:val="1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A CNN-Based Framework for Alzheimer's Disease Classification</w:t>
      </w:r>
    </w:p>
    <w:p w:rsidR="00000000" w:rsidDel="00000000" w:rsidP="00000000" w:rsidRDefault="00000000" w:rsidRPr="00000000" w14:paraId="000001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Content</w:t>
      </w:r>
    </w:p>
    <w:p w:rsidR="00000000" w:rsidDel="00000000" w:rsidP="00000000" w:rsidRDefault="00000000" w:rsidRPr="00000000" w14:paraId="000001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Section 1: Understanding Alzheimer's Disease</w:t>
      </w:r>
    </w:p>
    <w:p w:rsidR="00000000" w:rsidDel="00000000" w:rsidP="00000000" w:rsidRDefault="00000000" w:rsidRPr="00000000" w14:paraId="000001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Section 2: The Proposed CNN Framework</w:t>
      </w:r>
    </w:p>
    <w:p w:rsidR="00000000" w:rsidDel="00000000" w:rsidP="00000000" w:rsidRDefault="00000000" w:rsidRPr="00000000" w14:paraId="000001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Section 3: Experimental Results and Comparisons</w:t>
      </w:r>
    </w:p>
    <w:p w:rsidR="00000000" w:rsidDel="00000000" w:rsidP="00000000" w:rsidRDefault="00000000" w:rsidRPr="00000000" w14:paraId="000001F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Section 1: Understanding Alzheimer's Disease</w:t>
      </w:r>
    </w:p>
    <w:p w:rsidR="00000000" w:rsidDel="00000000" w:rsidP="00000000" w:rsidRDefault="00000000" w:rsidRPr="00000000" w14:paraId="000001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1.1: The Global Impact of Alzheimer's</w:t>
      </w:r>
    </w:p>
    <w:p w:rsidR="00000000" w:rsidDel="00000000" w:rsidP="00000000" w:rsidRDefault="00000000" w:rsidRPr="00000000" w14:paraId="000001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**Increasing Prevalence**: The global prevalence of Alzheimer's Disease (AD) is on the rise, with over 46.8 million people living with dementia in 2019, projected to rise to 131.5 million by 2050.</w:t>
      </w:r>
    </w:p>
    <w:p w:rsidR="00000000" w:rsidDel="00000000" w:rsidP="00000000" w:rsidRDefault="00000000" w:rsidRPr="00000000" w14:paraId="000001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**Importance of Early Classification**: Early and accurate AD classification is crucial for improving patient care and managing the economic impact of the disease.</w:t>
      </w:r>
    </w:p>
    <w:p w:rsidR="00000000" w:rsidDel="00000000" w:rsidP="00000000" w:rsidRDefault="00000000" w:rsidRPr="00000000" w14:paraId="000001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**Challenges and Drawbacks of Traditional Methods**: Traditional machine learning methods for AD classification have drawbacks, including complex image pre-processing and time-consuming feature selection.</w:t>
      </w:r>
    </w:p>
    <w:p w:rsidR="00000000" w:rsidDel="00000000" w:rsidP="00000000" w:rsidRDefault="00000000" w:rsidRPr="00000000" w14:paraId="000001F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1.2: The Role of Deep Learning in AD Classification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**Advantages of Deep Learning**: Deep learning methods, such as Convolutional Neural Networks (CNN), offer advantages over traditional methods, including less need for image pre-processing and automatic optimal data representation.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**CNN Architecture**: A typical CNN consists of three main layers: the Convolutional layer, the Pooling layer, and the Fully connected layer, providing a powerful approach for AD classification.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**Proposed End-to-End Framework**: The proposed CNN framework aims to address the limitations of traditional methods and leverage the advantages of deep learning for AD classification.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1.3: Related Work in AD Classification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**State-of-the-Art Approaches**: Various machine learning and deep learning methods have been used in previous studies for AD classification.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**Comparison to Existing Methods**: The proposed CNN framework outperforms existing methods, particularly in binary and multi-classification tasks, demonstrating superior performance in terms of accuracy, precision, and recall.</w:t>
      </w:r>
    </w:p>
    <w:p w:rsidR="00000000" w:rsidDel="00000000" w:rsidP="00000000" w:rsidRDefault="00000000" w:rsidRPr="00000000" w14:paraId="000002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1.4: Future Directions</w:t>
      </w:r>
    </w:p>
    <w:p w:rsidR="00000000" w:rsidDel="00000000" w:rsidP="00000000" w:rsidRDefault="00000000" w:rsidRPr="00000000" w14:paraId="000002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**Exploration of Transfer Learning Models**: Future work includes the exploration of transfer learning models to further enhance the classification accuracy and robustness of the proposed framework.</w:t>
      </w:r>
    </w:p>
    <w:p w:rsidR="00000000" w:rsidDel="00000000" w:rsidP="00000000" w:rsidRDefault="00000000" w:rsidRPr="00000000" w14:paraId="000002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**Multi-Classification Experiments**: The framework suggests further multi-classification experiments to expand its applicability and effectiveness in classifying different stages of Alzheimer's Disease.</w:t>
      </w:r>
    </w:p>
    <w:p w:rsidR="00000000" w:rsidDel="00000000" w:rsidP="00000000" w:rsidRDefault="00000000" w:rsidRPr="00000000" w14:paraId="000002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Section 2: The Proposed CNN Framework</w:t>
      </w:r>
    </w:p>
    <w:p w:rsidR="00000000" w:rsidDel="00000000" w:rsidP="00000000" w:rsidRDefault="00000000" w:rsidRPr="00000000" w14:paraId="000002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2.1: Framework Architecture</w:t>
      </w:r>
    </w:p>
    <w:p w:rsidR="00000000" w:rsidDel="00000000" w:rsidP="00000000" w:rsidRDefault="00000000" w:rsidRPr="00000000" w14:paraId="000002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**End-to-End Design**: The proposed CNN framework is designed to be end-to-end, eliminating the need for complex pre-processing and feature selection.</w:t>
      </w:r>
    </w:p>
    <w:p w:rsidR="00000000" w:rsidDel="00000000" w:rsidP="00000000" w:rsidRDefault="00000000" w:rsidRPr="00000000" w14:paraId="000002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**Key Components**: The framework includes adaptive thresholding, data augmentation, Glorot Uniform weight initializer, and the Adam optimizer for quicker convergence and higher accuracy.</w:t>
      </w:r>
    </w:p>
    <w:p w:rsidR="00000000" w:rsidDel="00000000" w:rsidP="00000000" w:rsidRDefault="00000000" w:rsidRPr="00000000" w14:paraId="000002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**Performance Evaluation**: The framework's performance is evaluated using the Alzheimer's Disease Neuroimaging Initiative (ADNI) dataset, achieving high classification accuracies.</w:t>
      </w:r>
    </w:p>
    <w:p w:rsidR="00000000" w:rsidDel="00000000" w:rsidP="00000000" w:rsidRDefault="00000000" w:rsidRPr="00000000" w14:paraId="000002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2.2: Experimental Methodology</w:t>
      </w:r>
    </w:p>
    <w:p w:rsidR="00000000" w:rsidDel="00000000" w:rsidP="00000000" w:rsidRDefault="00000000" w:rsidRPr="00000000" w14:paraId="000002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**Dataset Acquisition and Annotation**: MRI images are acquired and annotated to facilitate future processing, ensuring that only images containing the full shape of the brain are used.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**Preprocessing and Augmentation**: The second layer of the framework applies adaptive thresholding and data augmentation to enhance the training datasets.</w:t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**CNN Model and Classification**: The CNN model is applied to perform the AD classification, achieving high accuracy and robustness.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2.3: Key Contributions of the Framework</w:t>
      </w:r>
    </w:p>
    <w:p w:rsidR="00000000" w:rsidDel="00000000" w:rsidP="00000000" w:rsidRDefault="00000000" w:rsidRPr="00000000" w14:paraId="000002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**Adaptive Thresholding and Data Augmentation**: The framework applies adaptive thresholding and data augmentation to enhance the quality and size of the training datasets.</w:t>
      </w:r>
    </w:p>
    <w:p w:rsidR="00000000" w:rsidDel="00000000" w:rsidP="00000000" w:rsidRDefault="00000000" w:rsidRPr="00000000" w14:paraId="000002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**Glorot Uniform Weight Initializer**: The network weights are initialized using Glorot Uniform initializer, enabling quicker convergence and higher accuracy.</w:t>
      </w:r>
    </w:p>
    <w:p w:rsidR="00000000" w:rsidDel="00000000" w:rsidP="00000000" w:rsidRDefault="00000000" w:rsidRPr="00000000" w14:paraId="000002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**Utilization of Adam Optimizer**: The Adam optimizer is used in the optimization process, leading to quicker convergence and superior classification accuracy.</w:t>
      </w:r>
    </w:p>
    <w:p w:rsidR="00000000" w:rsidDel="00000000" w:rsidP="00000000" w:rsidRDefault="00000000" w:rsidRPr="00000000" w14:paraId="000002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2.4: Framework Performance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**Superior Performance**: The proposed framework outperforms state-of-the-art approaches, achieving high classification accuracies for binary and multi-classification experiments.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**Comparison to Existing Methods**: Comparative analysis demonstrates the superior performance of the proposed CNN framework in terms of accuracy, precision, and recall.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**Real-World Application**: The high classification accuracies achieved by the CNN framework suggest its potential for real-world application in healthcare settings.</w:t>
      </w:r>
    </w:p>
    <w:p w:rsidR="00000000" w:rsidDel="00000000" w:rsidP="00000000" w:rsidRDefault="00000000" w:rsidRPr="00000000" w14:paraId="0000021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 Section 3: Experimental Results and Comparisons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3.1: Experimental Setup</w:t>
      </w:r>
    </w:p>
    <w:p w:rsidR="00000000" w:rsidDel="00000000" w:rsidP="00000000" w:rsidRDefault="00000000" w:rsidRPr="00000000" w14:paraId="000002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**Dataset Source**: Data used in the experiments were obtained from the Alzheimer's Disease Neuroimaging Initiative (ADNI) database.</w:t>
      </w:r>
    </w:p>
    <w:p w:rsidR="00000000" w:rsidDel="00000000" w:rsidP="00000000" w:rsidRDefault="00000000" w:rsidRPr="00000000" w14:paraId="000002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**Performance Parameters**: The experiments measure several performance parameters, including accuracy, recall, precision, and the receiver operating characteristic (ROC) curve.</w:t>
      </w:r>
    </w:p>
    <w:p w:rsidR="00000000" w:rsidDel="00000000" w:rsidP="00000000" w:rsidRDefault="00000000" w:rsidRPr="00000000" w14:paraId="0000022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3.2: Comparative Analysis</w:t>
      </w:r>
    </w:p>
    <w:p w:rsidR="00000000" w:rsidDel="00000000" w:rsidP="00000000" w:rsidRDefault="00000000" w:rsidRPr="00000000" w14:paraId="000002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**Comparison to Existing Techniques**: Comparative analysis with existing AD-classification techniques demonstrates the superior performance of the proposed CNN framework.</w:t>
      </w:r>
    </w:p>
    <w:p w:rsidR="00000000" w:rsidDel="00000000" w:rsidP="00000000" w:rsidRDefault="00000000" w:rsidRPr="00000000" w14:paraId="000002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**Experimental Results**: The experimental results showcase the high accuracy, precision, and recall achieved by the CNN framework in classifying Alzheimer's Disease.</w:t>
      </w:r>
    </w:p>
    <w:p w:rsidR="00000000" w:rsidDel="00000000" w:rsidP="00000000" w:rsidRDefault="00000000" w:rsidRPr="00000000" w14:paraId="000002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**Future Implications**: The robust performance of the CNN framework suggests its potential for future implications in early diagnosis and improved patient management.</w:t>
      </w:r>
    </w:p>
    <w:p w:rsidR="00000000" w:rsidDel="00000000" w:rsidP="00000000" w:rsidRDefault="00000000" w:rsidRPr="00000000" w14:paraId="000002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3.3: Future Directions and Conclusion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**Future Work**: Future work includes further multi-classification experiments and exploration of transfer learning models to enhance the framework's applicability and effectiveness.</w:t>
      </w:r>
    </w:p>
    <w:p w:rsidR="00000000" w:rsidDel="00000000" w:rsidP="00000000" w:rsidRDefault="00000000" w:rsidRPr="00000000" w14:paraId="000002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**Conclusion**: The proposed CNN framework presents a promising approach to AD classification using deep learning, offering a potential tool for early diagnosis and improved patient management.</w:t>
      </w:r>
    </w:p>
    <w:p w:rsidR="00000000" w:rsidDel="00000000" w:rsidP="00000000" w:rsidRDefault="00000000" w:rsidRPr="00000000" w14:paraId="000002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### Page 3.4: Q&amp;A</w:t>
      </w:r>
    </w:p>
    <w:p w:rsidR="00000000" w:rsidDel="00000000" w:rsidP="00000000" w:rsidRDefault="00000000" w:rsidRPr="00000000" w14:paraId="000002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**Interactive Session**: The audience is invited to engage in an interactive Q&amp;A session to discuss the framework, its implications, and potential future research directions.</w:t>
      </w:r>
    </w:p>
    <w:p w:rsidR="00000000" w:rsidDel="00000000" w:rsidP="00000000" w:rsidRDefault="00000000" w:rsidRPr="00000000" w14:paraId="000002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