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83" w:rsidRDefault="00E17683" w:rsidP="00E35F8B"/>
    <w:p w:rsidR="00E17683" w:rsidRDefault="00E17683" w:rsidP="00E35F8B"/>
    <w:tbl>
      <w:tblPr>
        <w:tblW w:w="5078" w:type="pct"/>
        <w:jc w:val="center"/>
        <w:tblLook w:val="04A0" w:firstRow="1" w:lastRow="0" w:firstColumn="1" w:lastColumn="0" w:noHBand="0" w:noVBand="1"/>
      </w:tblPr>
      <w:tblGrid>
        <w:gridCol w:w="8994"/>
      </w:tblGrid>
      <w:tr w:rsidR="00AF4302" w:rsidRPr="00071F67" w:rsidTr="00604C56">
        <w:trPr>
          <w:trHeight w:val="53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AF4302" w:rsidRPr="00071F67" w:rsidRDefault="006E3C7B" w:rsidP="00604C56">
            <w:pPr>
              <w:pStyle w:val="NoSpacing"/>
              <w:jc w:val="center"/>
              <w:rPr>
                <w:rFonts w:eastAsiaTheme="majorEastAsia"/>
                <w:b/>
                <w:sz w:val="36"/>
                <w:szCs w:val="36"/>
              </w:rPr>
            </w:pPr>
            <w:r>
              <w:rPr>
                <w:rFonts w:eastAsiaTheme="majorEastAsia"/>
                <w:b/>
                <w:sz w:val="36"/>
                <w:szCs w:val="36"/>
              </w:rPr>
              <w:t>Assignment #</w:t>
            </w:r>
            <w:r w:rsidR="00AF4302">
              <w:rPr>
                <w:rFonts w:eastAsiaTheme="majorEastAsia"/>
                <w:b/>
                <w:sz w:val="36"/>
                <w:szCs w:val="36"/>
              </w:rPr>
              <w:t>3</w:t>
            </w: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b/>
                <w:sz w:val="32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b/>
                <w:color w:val="4F81BD" w:themeColor="accent1"/>
                <w:sz w:val="80"/>
                <w:szCs w:val="80"/>
              </w:rPr>
            </w:pPr>
            <w:r w:rsidRPr="00071F67">
              <w:rPr>
                <w:rFonts w:eastAsiaTheme="majorEastAsia"/>
                <w:b/>
                <w:sz w:val="44"/>
                <w:szCs w:val="80"/>
              </w:rPr>
              <w:t>ELG 5383 – Survivable Optical Networks</w:t>
            </w:r>
          </w:p>
        </w:tc>
      </w:tr>
      <w:tr w:rsidR="00AF4302" w:rsidRPr="00071F67" w:rsidTr="00604C56">
        <w:trPr>
          <w:trHeight w:val="731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71F67">
              <w:rPr>
                <w:rFonts w:eastAsiaTheme="majorEastAsia"/>
                <w:sz w:val="28"/>
                <w:szCs w:val="80"/>
              </w:rPr>
              <w:t>Winter 2015</w:t>
            </w: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71F67">
              <w:rPr>
                <w:rFonts w:eastAsiaTheme="majorEastAsia"/>
                <w:sz w:val="28"/>
                <w:szCs w:val="80"/>
              </w:rPr>
              <w:t>Submitted To</w:t>
            </w:r>
          </w:p>
          <w:p w:rsidR="00AF4302" w:rsidRPr="00071F67" w:rsidRDefault="00AF4302" w:rsidP="00604C56">
            <w:r w:rsidRPr="00071F67">
              <w:t xml:space="preserve">                                             </w:t>
            </w:r>
          </w:p>
          <w:p w:rsidR="00AF4302" w:rsidRPr="00071F67" w:rsidRDefault="00AF4302" w:rsidP="00604C56">
            <w:pPr>
              <w:rPr>
                <w:sz w:val="28"/>
                <w:szCs w:val="28"/>
              </w:rPr>
            </w:pPr>
            <w:r w:rsidRPr="00071F67">
              <w:t xml:space="preserve">                     </w:t>
            </w:r>
            <w:r>
              <w:t xml:space="preserve">                        </w:t>
            </w:r>
            <w:r w:rsidRPr="00071F67">
              <w:rPr>
                <w:sz w:val="28"/>
                <w:szCs w:val="28"/>
              </w:rPr>
              <w:t>Professor Hussein T. Mouftah</w:t>
            </w: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71F67">
              <w:rPr>
                <w:rFonts w:eastAsiaTheme="majorEastAsia"/>
                <w:sz w:val="28"/>
                <w:szCs w:val="80"/>
              </w:rPr>
              <w:t>By</w:t>
            </w:r>
          </w:p>
          <w:p w:rsidR="00AF4302" w:rsidRPr="00071F67" w:rsidRDefault="00AF4302" w:rsidP="00604C56">
            <w:pPr>
              <w:pStyle w:val="NoSpacing"/>
              <w:rPr>
                <w:rFonts w:eastAsiaTheme="majorEastAsia"/>
                <w:b/>
                <w:sz w:val="32"/>
                <w:szCs w:val="32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b/>
                <w:sz w:val="32"/>
                <w:szCs w:val="32"/>
              </w:rPr>
            </w:pPr>
            <w:r w:rsidRPr="00071F67">
              <w:rPr>
                <w:rFonts w:eastAsiaTheme="majorEastAsia"/>
                <w:b/>
                <w:sz w:val="32"/>
                <w:szCs w:val="32"/>
              </w:rPr>
              <w:t xml:space="preserve">   Ferhan Jamal (100 953 487-Carleton University)</w:t>
            </w: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AF4302" w:rsidRPr="00071F67" w:rsidRDefault="00AF4302" w:rsidP="00604C56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</w:tc>
      </w:tr>
    </w:tbl>
    <w:p w:rsidR="00E17683" w:rsidRDefault="00E17683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AF4302" w:rsidRDefault="00AF4302" w:rsidP="00E35F8B"/>
    <w:p w:rsidR="00E17683" w:rsidRDefault="00E17683" w:rsidP="00E35F8B"/>
    <w:p w:rsidR="00AF4302" w:rsidRDefault="00AF4302" w:rsidP="00E35F8B"/>
    <w:p w:rsidR="00E35F8B" w:rsidRDefault="00E35F8B" w:rsidP="00E35F8B">
      <w:pPr>
        <w:jc w:val="center"/>
      </w:pPr>
    </w:p>
    <w:p w:rsidR="00E17683" w:rsidRDefault="00E17683" w:rsidP="00E17683">
      <w:pPr>
        <w:ind w:left="360"/>
        <w:jc w:val="both"/>
      </w:pPr>
    </w:p>
    <w:p w:rsidR="00E17683" w:rsidRPr="007A48CF" w:rsidRDefault="006E3C7B" w:rsidP="00E17683">
      <w:pPr>
        <w:ind w:left="360"/>
        <w:jc w:val="both"/>
        <w:rPr>
          <w:b/>
        </w:rPr>
      </w:pPr>
      <w:r>
        <w:rPr>
          <w:b/>
        </w:rPr>
        <w:t>Question</w:t>
      </w:r>
    </w:p>
    <w:p w:rsidR="00E17683" w:rsidRDefault="00E17683" w:rsidP="00E17683">
      <w:pPr>
        <w:ind w:left="360"/>
        <w:jc w:val="both"/>
      </w:pPr>
    </w:p>
    <w:p w:rsidR="00E35F8B" w:rsidRDefault="00E35F8B" w:rsidP="007A48CF">
      <w:pPr>
        <w:ind w:firstLine="360"/>
      </w:pPr>
      <w:r>
        <w:t>Use WACOSOD simulation tool to compare and analyze the performance of</w:t>
      </w:r>
    </w:p>
    <w:p w:rsidR="00E35F8B" w:rsidRDefault="00E35F8B" w:rsidP="007A48CF">
      <w:pPr>
        <w:ind w:left="360"/>
      </w:pPr>
      <w:r>
        <w:t>the Wavelength-Convertible (WC) Optical Switch Architectures ( Dedicated,</w:t>
      </w:r>
    </w:p>
    <w:p w:rsidR="00E35F8B" w:rsidRDefault="00E35F8B" w:rsidP="007A48CF">
      <w:pPr>
        <w:ind w:left="360"/>
      </w:pPr>
      <w:r>
        <w:t>per node, per link, electronic, and half clear) in terms of the blocking probability</w:t>
      </w:r>
    </w:p>
    <w:p w:rsidR="00E35F8B" w:rsidRDefault="00E35F8B" w:rsidP="007A48CF">
      <w:pPr>
        <w:ind w:left="360"/>
      </w:pPr>
      <w:r>
        <w:t>gain and cost gain in WDM wavelength-rout</w:t>
      </w:r>
      <w:r w:rsidR="00870AAD">
        <w:t>ed optical networks. Use WACOSOD</w:t>
      </w:r>
    </w:p>
    <w:p w:rsidR="00E35F8B" w:rsidRDefault="00E35F8B" w:rsidP="007A48CF">
      <w:pPr>
        <w:ind w:left="360"/>
      </w:pPr>
      <w:r>
        <w:t>to find the best degree of wavelength conversion (X%) for both the NSF network</w:t>
      </w:r>
    </w:p>
    <w:p w:rsidR="00E35F8B" w:rsidRDefault="00E35F8B" w:rsidP="007A48CF">
      <w:pPr>
        <w:ind w:left="360"/>
      </w:pPr>
      <w:r>
        <w:t>and the EON, under the First-fit Wavelength Assignment scheme with the</w:t>
      </w:r>
    </w:p>
    <w:p w:rsidR="00E35F8B" w:rsidRDefault="00E35F8B" w:rsidP="007A48CF">
      <w:pPr>
        <w:ind w:left="360"/>
      </w:pPr>
      <w:r>
        <w:t>traffic sorted in the increasing order of traffic demands as well as with the</w:t>
      </w:r>
    </w:p>
    <w:p w:rsidR="00293E6C" w:rsidRDefault="00E35F8B" w:rsidP="007A48CF">
      <w:pPr>
        <w:ind w:left="360"/>
      </w:pPr>
      <w:r>
        <w:t>decreasing order of traffic demands.</w:t>
      </w:r>
    </w:p>
    <w:p w:rsidR="007A48CF" w:rsidRDefault="007A48CF" w:rsidP="007A48CF">
      <w:pPr>
        <w:ind w:left="360"/>
        <w:jc w:val="both"/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AF4302" w:rsidRDefault="00AF4302" w:rsidP="007A48CF">
      <w:pPr>
        <w:ind w:left="360"/>
        <w:jc w:val="both"/>
        <w:rPr>
          <w:b/>
        </w:rPr>
      </w:pPr>
    </w:p>
    <w:p w:rsidR="006E3C7B" w:rsidRDefault="006E3C7B" w:rsidP="007A48CF">
      <w:pPr>
        <w:ind w:left="360"/>
        <w:jc w:val="both"/>
        <w:rPr>
          <w:b/>
        </w:rPr>
      </w:pPr>
    </w:p>
    <w:p w:rsidR="00D75B9C" w:rsidRDefault="007A48CF" w:rsidP="007A48CF">
      <w:pPr>
        <w:ind w:left="360"/>
        <w:jc w:val="both"/>
        <w:rPr>
          <w:b/>
        </w:rPr>
      </w:pPr>
      <w:r w:rsidRPr="007A48CF">
        <w:rPr>
          <w:b/>
        </w:rPr>
        <w:lastRenderedPageBreak/>
        <w:t>Answer:</w:t>
      </w:r>
      <w:r w:rsidR="00D75B9C">
        <w:rPr>
          <w:b/>
        </w:rPr>
        <w:t xml:space="preserve"> </w:t>
      </w:r>
    </w:p>
    <w:p w:rsidR="00D75B9C" w:rsidRDefault="00D75B9C" w:rsidP="007A48CF">
      <w:pPr>
        <w:ind w:left="360"/>
        <w:jc w:val="both"/>
        <w:rPr>
          <w:b/>
        </w:rPr>
      </w:pPr>
    </w:p>
    <w:p w:rsidR="00D75B9C" w:rsidRDefault="00D75B9C" w:rsidP="007A48CF">
      <w:pPr>
        <w:ind w:left="360"/>
        <w:jc w:val="both"/>
        <w:rPr>
          <w:b/>
        </w:rPr>
      </w:pPr>
    </w:p>
    <w:p w:rsidR="00D75B9C" w:rsidRDefault="00D75B9C" w:rsidP="007A48CF">
      <w:pPr>
        <w:ind w:left="360"/>
        <w:jc w:val="both"/>
        <w:rPr>
          <w:b/>
        </w:rPr>
      </w:pPr>
      <w:r>
        <w:t>Following is the graph of the Blocking Probability with Number of Wavelengths:</w:t>
      </w:r>
    </w:p>
    <w:p w:rsidR="00D75B9C" w:rsidRDefault="00D75B9C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384AEB26" wp14:editId="08FDCBCE">
            <wp:extent cx="5276850" cy="31432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A48CF" w:rsidRDefault="007A48CF" w:rsidP="007A48CF">
      <w:pPr>
        <w:ind w:left="360"/>
        <w:jc w:val="both"/>
        <w:rPr>
          <w:b/>
        </w:rPr>
      </w:pPr>
    </w:p>
    <w:p w:rsidR="00D75B9C" w:rsidRDefault="00D75B9C" w:rsidP="00D75B9C">
      <w:pPr>
        <w:ind w:left="360"/>
        <w:jc w:val="both"/>
        <w:rPr>
          <w:b/>
        </w:rPr>
      </w:pPr>
    </w:p>
    <w:p w:rsidR="00D75B9C" w:rsidRDefault="00D75B9C" w:rsidP="00D75B9C">
      <w:pPr>
        <w:ind w:left="360"/>
        <w:jc w:val="both"/>
      </w:pPr>
    </w:p>
    <w:p w:rsidR="00D75B9C" w:rsidRDefault="00D75B9C" w:rsidP="00D75B9C">
      <w:pPr>
        <w:ind w:left="360"/>
        <w:jc w:val="both"/>
      </w:pPr>
    </w:p>
    <w:p w:rsidR="00D75B9C" w:rsidRDefault="00D75B9C" w:rsidP="00D75B9C">
      <w:pPr>
        <w:ind w:left="360"/>
        <w:jc w:val="both"/>
        <w:rPr>
          <w:b/>
        </w:rPr>
      </w:pPr>
      <w:r>
        <w:t>Following is the graph of Gain Ratio:</w:t>
      </w:r>
    </w:p>
    <w:p w:rsidR="00D75B9C" w:rsidRDefault="00D75B9C" w:rsidP="00D75B9C">
      <w:pPr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</w:p>
    <w:p w:rsidR="007A48CF" w:rsidRDefault="007A48CF" w:rsidP="007A48CF">
      <w:pPr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55FE1E73" wp14:editId="2BCC80BF">
            <wp:extent cx="5486400" cy="2496429"/>
            <wp:effectExtent l="0" t="0" r="1905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48CF" w:rsidRDefault="007A48CF" w:rsidP="007A48CF">
      <w:pPr>
        <w:ind w:left="360"/>
        <w:jc w:val="both"/>
        <w:rPr>
          <w:b/>
        </w:rPr>
      </w:pPr>
    </w:p>
    <w:p w:rsidR="00D75B9C" w:rsidRDefault="00D75B9C" w:rsidP="007A48CF">
      <w:pPr>
        <w:ind w:left="360"/>
        <w:jc w:val="both"/>
        <w:rPr>
          <w:b/>
        </w:rPr>
      </w:pPr>
    </w:p>
    <w:p w:rsidR="00D75B9C" w:rsidRPr="00D75B9C" w:rsidRDefault="00D75B9C" w:rsidP="007A48CF">
      <w:pPr>
        <w:ind w:left="360"/>
        <w:jc w:val="both"/>
      </w:pPr>
      <w:r w:rsidRPr="00D75B9C">
        <w:t>The following table gives the best degree of Wavelength Conversion (</w:t>
      </w:r>
      <w:r>
        <w:t xml:space="preserve"> </w:t>
      </w:r>
      <w:r w:rsidRPr="00D75B9C">
        <w:t>X%</w:t>
      </w:r>
      <w:r>
        <w:t xml:space="preserve"> </w:t>
      </w:r>
      <w:r w:rsidRPr="00D75B9C">
        <w:t xml:space="preserve">) : </w:t>
      </w:r>
    </w:p>
    <w:p w:rsidR="00D75B9C" w:rsidRPr="00D75B9C" w:rsidRDefault="00D75B9C" w:rsidP="007A48CF">
      <w:pPr>
        <w:ind w:left="360"/>
        <w:jc w:val="both"/>
      </w:pPr>
    </w:p>
    <w:p w:rsidR="00D75B9C" w:rsidRDefault="00D75B9C" w:rsidP="007A48CF">
      <w:pPr>
        <w:ind w:left="360"/>
        <w:jc w:val="both"/>
        <w:rPr>
          <w:b/>
        </w:rPr>
      </w:pPr>
    </w:p>
    <w:p w:rsidR="007A48CF" w:rsidRPr="00DC74CB" w:rsidRDefault="007A48CF" w:rsidP="007A48CF">
      <w:pPr>
        <w:ind w:left="2160"/>
        <w:jc w:val="both"/>
        <w:rPr>
          <w:b/>
          <w:sz w:val="28"/>
          <w:szCs w:val="28"/>
          <w:u w:val="single"/>
        </w:rPr>
      </w:pPr>
      <w:r w:rsidRPr="00DC74CB">
        <w:rPr>
          <w:b/>
          <w:sz w:val="28"/>
          <w:szCs w:val="28"/>
          <w:u w:val="single"/>
        </w:rPr>
        <w:t xml:space="preserve">Traffic Generation Model (Uniform) </w:t>
      </w:r>
    </w:p>
    <w:p w:rsidR="007A48CF" w:rsidRDefault="007A48CF" w:rsidP="007A48CF"/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986"/>
        <w:gridCol w:w="2031"/>
        <w:gridCol w:w="1904"/>
        <w:gridCol w:w="1879"/>
        <w:gridCol w:w="1879"/>
      </w:tblGrid>
      <w:tr w:rsidR="007A48CF" w:rsidTr="00F10C9E">
        <w:trPr>
          <w:trHeight w:val="504"/>
        </w:trPr>
        <w:tc>
          <w:tcPr>
            <w:tcW w:w="1986" w:type="dxa"/>
          </w:tcPr>
          <w:p w:rsidR="007A48CF" w:rsidRPr="00E56336" w:rsidRDefault="007A48CF" w:rsidP="00F10C9E">
            <w:pPr>
              <w:rPr>
                <w:rFonts w:ascii="Times New Roman" w:hAnsi="Times New Roman" w:cs="Times New Roman"/>
              </w:rPr>
            </w:pPr>
            <w:r>
              <w:t xml:space="preserve">     </w:t>
            </w:r>
            <w:r w:rsidRPr="00E56336">
              <w:rPr>
                <w:rFonts w:ascii="Times New Roman" w:hAnsi="Times New Roman" w:cs="Times New Roman"/>
              </w:rPr>
              <w:t>Traffic Factors</w:t>
            </w:r>
          </w:p>
        </w:tc>
        <w:tc>
          <w:tcPr>
            <w:tcW w:w="2031" w:type="dxa"/>
          </w:tcPr>
          <w:p w:rsidR="007A48CF" w:rsidRPr="00E56336" w:rsidRDefault="007A48CF" w:rsidP="00F10C9E">
            <w:pPr>
              <w:pStyle w:val="Default"/>
            </w:pPr>
            <w:r>
              <w:t xml:space="preserve">  </w:t>
            </w:r>
            <w:r w:rsidRPr="00E56336">
              <w:t>NSF with RWA</w:t>
            </w:r>
          </w:p>
          <w:p w:rsidR="007A48CF" w:rsidRDefault="007A48CF" w:rsidP="00F10C9E">
            <w:r>
              <w:rPr>
                <w:rFonts w:ascii="Times New Roman" w:hAnsi="Times New Roman" w:cs="Times New Roman"/>
              </w:rPr>
              <w:t xml:space="preserve">        </w:t>
            </w:r>
            <w:r w:rsidRPr="00E56336">
              <w:rPr>
                <w:rFonts w:ascii="Times New Roman" w:hAnsi="Times New Roman" w:cs="Times New Roman"/>
              </w:rPr>
              <w:t>Scheme1</w:t>
            </w:r>
          </w:p>
        </w:tc>
        <w:tc>
          <w:tcPr>
            <w:tcW w:w="1904" w:type="dxa"/>
          </w:tcPr>
          <w:p w:rsidR="007A48CF" w:rsidRPr="00E56336" w:rsidRDefault="007A48CF" w:rsidP="00F10C9E">
            <w:pPr>
              <w:pStyle w:val="Default"/>
            </w:pPr>
            <w:r w:rsidRPr="00E56336">
              <w:t>NSF with RWA</w:t>
            </w:r>
          </w:p>
          <w:p w:rsidR="007A48CF" w:rsidRDefault="007A48CF" w:rsidP="00F10C9E">
            <w:r>
              <w:rPr>
                <w:rFonts w:ascii="Times New Roman" w:hAnsi="Times New Roman" w:cs="Times New Roman"/>
              </w:rPr>
              <w:t xml:space="preserve">        Scheme2</w:t>
            </w:r>
          </w:p>
        </w:tc>
        <w:tc>
          <w:tcPr>
            <w:tcW w:w="1879" w:type="dxa"/>
          </w:tcPr>
          <w:p w:rsidR="007A48CF" w:rsidRPr="00E56336" w:rsidRDefault="007A48CF" w:rsidP="00F10C9E">
            <w:pPr>
              <w:pStyle w:val="Default"/>
              <w:jc w:val="center"/>
            </w:pPr>
            <w:r>
              <w:t xml:space="preserve">EON with </w:t>
            </w:r>
            <w:r w:rsidRPr="00E56336">
              <w:t>RWA</w:t>
            </w:r>
            <w:r>
              <w:t xml:space="preserve">    Scheme1</w:t>
            </w:r>
          </w:p>
        </w:tc>
        <w:tc>
          <w:tcPr>
            <w:tcW w:w="1879" w:type="dxa"/>
          </w:tcPr>
          <w:p w:rsidR="007A48CF" w:rsidRDefault="007A48CF" w:rsidP="00F10C9E">
            <w:pPr>
              <w:pStyle w:val="Default"/>
              <w:jc w:val="center"/>
            </w:pPr>
            <w:r>
              <w:t xml:space="preserve">EON with </w:t>
            </w:r>
            <w:r w:rsidRPr="00E56336">
              <w:t>RWA</w:t>
            </w:r>
            <w:r>
              <w:t xml:space="preserve"> Scheme2</w:t>
            </w:r>
          </w:p>
        </w:tc>
      </w:tr>
      <w:tr w:rsidR="007A48CF" w:rsidRPr="00503412" w:rsidTr="00F10C9E">
        <w:trPr>
          <w:trHeight w:val="267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 1.0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10%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 20%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10%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20%</w:t>
            </w:r>
          </w:p>
        </w:tc>
      </w:tr>
      <w:tr w:rsidR="007A48CF" w:rsidRPr="00503412" w:rsidTr="00F10C9E">
        <w:trPr>
          <w:trHeight w:val="251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03412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 xml:space="preserve">20%  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503412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30%</w:t>
            </w:r>
          </w:p>
        </w:tc>
      </w:tr>
      <w:tr w:rsidR="007A48CF" w:rsidRPr="00503412" w:rsidTr="00F10C9E">
        <w:trPr>
          <w:trHeight w:val="251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 0.5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503412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50%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A48CF" w:rsidRPr="00503412" w:rsidTr="00F10C9E">
        <w:trPr>
          <w:trHeight w:val="251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50341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20%</w:t>
            </w:r>
          </w:p>
        </w:tc>
      </w:tr>
      <w:tr w:rsidR="007A48CF" w:rsidRPr="00503412" w:rsidTr="00F10C9E">
        <w:trPr>
          <w:trHeight w:val="65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503412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50%</w:t>
            </w:r>
          </w:p>
        </w:tc>
      </w:tr>
    </w:tbl>
    <w:p w:rsidR="007A48CF" w:rsidRDefault="007A48CF" w:rsidP="007A48CF"/>
    <w:p w:rsidR="007A48CF" w:rsidRDefault="007A48CF" w:rsidP="007A48CF"/>
    <w:p w:rsidR="007A48CF" w:rsidRDefault="007A48CF" w:rsidP="007A48CF"/>
    <w:p w:rsidR="007A48CF" w:rsidRDefault="007A48CF" w:rsidP="007A48CF"/>
    <w:p w:rsidR="007A48CF" w:rsidRDefault="007A48CF" w:rsidP="007A48CF"/>
    <w:p w:rsidR="007A48CF" w:rsidRDefault="007A48CF" w:rsidP="007A48CF"/>
    <w:p w:rsidR="007A48CF" w:rsidRDefault="007A48CF" w:rsidP="005D1A58">
      <w:pPr>
        <w:ind w:left="1440" w:firstLine="720"/>
      </w:pPr>
      <w:bookmarkStart w:id="0" w:name="_GoBack"/>
      <w:bookmarkEnd w:id="0"/>
      <w:r w:rsidRPr="00DC74CB">
        <w:rPr>
          <w:b/>
          <w:sz w:val="28"/>
          <w:szCs w:val="28"/>
          <w:u w:val="single"/>
        </w:rPr>
        <w:t>Traffic Generation Model (</w:t>
      </w:r>
      <w:r>
        <w:rPr>
          <w:b/>
          <w:sz w:val="28"/>
          <w:szCs w:val="28"/>
          <w:u w:val="single"/>
        </w:rPr>
        <w:t xml:space="preserve">Non </w:t>
      </w:r>
      <w:r w:rsidRPr="00DC74CB">
        <w:rPr>
          <w:b/>
          <w:sz w:val="28"/>
          <w:szCs w:val="28"/>
          <w:u w:val="single"/>
        </w:rPr>
        <w:t>Uniform)</w:t>
      </w:r>
    </w:p>
    <w:p w:rsidR="007A48CF" w:rsidRDefault="007A48CF" w:rsidP="007A48CF"/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1986"/>
        <w:gridCol w:w="2031"/>
        <w:gridCol w:w="1904"/>
        <w:gridCol w:w="1879"/>
        <w:gridCol w:w="1879"/>
      </w:tblGrid>
      <w:tr w:rsidR="007A48CF" w:rsidTr="00F10C9E">
        <w:trPr>
          <w:trHeight w:val="504"/>
        </w:trPr>
        <w:tc>
          <w:tcPr>
            <w:tcW w:w="1986" w:type="dxa"/>
          </w:tcPr>
          <w:p w:rsidR="007A48CF" w:rsidRPr="00E56336" w:rsidRDefault="007A48CF" w:rsidP="00F10C9E">
            <w:pPr>
              <w:rPr>
                <w:rFonts w:ascii="Times New Roman" w:hAnsi="Times New Roman" w:cs="Times New Roman"/>
              </w:rPr>
            </w:pPr>
            <w:r>
              <w:t xml:space="preserve">     </w:t>
            </w:r>
            <w:r w:rsidRPr="00E56336">
              <w:rPr>
                <w:rFonts w:ascii="Times New Roman" w:hAnsi="Times New Roman" w:cs="Times New Roman"/>
              </w:rPr>
              <w:t>Traffic Factors</w:t>
            </w:r>
          </w:p>
        </w:tc>
        <w:tc>
          <w:tcPr>
            <w:tcW w:w="2031" w:type="dxa"/>
          </w:tcPr>
          <w:p w:rsidR="007A48CF" w:rsidRPr="00E56336" w:rsidRDefault="007A48CF" w:rsidP="00F10C9E">
            <w:pPr>
              <w:pStyle w:val="Default"/>
            </w:pPr>
            <w:r>
              <w:t xml:space="preserve">  </w:t>
            </w:r>
            <w:r w:rsidRPr="00E56336">
              <w:t>NSF with RWA</w:t>
            </w:r>
          </w:p>
          <w:p w:rsidR="007A48CF" w:rsidRDefault="007A48CF" w:rsidP="00F10C9E">
            <w:r>
              <w:rPr>
                <w:rFonts w:ascii="Times New Roman" w:hAnsi="Times New Roman" w:cs="Times New Roman"/>
              </w:rPr>
              <w:t xml:space="preserve">        </w:t>
            </w:r>
            <w:r w:rsidRPr="00E56336">
              <w:rPr>
                <w:rFonts w:ascii="Times New Roman" w:hAnsi="Times New Roman" w:cs="Times New Roman"/>
              </w:rPr>
              <w:t>Scheme1</w:t>
            </w:r>
          </w:p>
        </w:tc>
        <w:tc>
          <w:tcPr>
            <w:tcW w:w="1904" w:type="dxa"/>
          </w:tcPr>
          <w:p w:rsidR="007A48CF" w:rsidRPr="00E56336" w:rsidRDefault="007A48CF" w:rsidP="00F10C9E">
            <w:pPr>
              <w:pStyle w:val="Default"/>
            </w:pPr>
            <w:r w:rsidRPr="00E56336">
              <w:t>NSF with RWA</w:t>
            </w:r>
          </w:p>
          <w:p w:rsidR="007A48CF" w:rsidRDefault="007A48CF" w:rsidP="00F10C9E">
            <w:r>
              <w:rPr>
                <w:rFonts w:ascii="Times New Roman" w:hAnsi="Times New Roman" w:cs="Times New Roman"/>
              </w:rPr>
              <w:t xml:space="preserve">        Scheme2</w:t>
            </w:r>
          </w:p>
        </w:tc>
        <w:tc>
          <w:tcPr>
            <w:tcW w:w="1879" w:type="dxa"/>
          </w:tcPr>
          <w:p w:rsidR="007A48CF" w:rsidRPr="00E56336" w:rsidRDefault="007A48CF" w:rsidP="00F10C9E">
            <w:pPr>
              <w:pStyle w:val="Default"/>
              <w:jc w:val="center"/>
            </w:pPr>
            <w:r>
              <w:t xml:space="preserve">EON with </w:t>
            </w:r>
            <w:r w:rsidRPr="00E56336">
              <w:t>RWA</w:t>
            </w:r>
            <w:r>
              <w:t xml:space="preserve">    Scheme1</w:t>
            </w:r>
          </w:p>
        </w:tc>
        <w:tc>
          <w:tcPr>
            <w:tcW w:w="1879" w:type="dxa"/>
          </w:tcPr>
          <w:p w:rsidR="007A48CF" w:rsidRDefault="007A48CF" w:rsidP="00F10C9E">
            <w:pPr>
              <w:pStyle w:val="Default"/>
              <w:jc w:val="center"/>
            </w:pPr>
            <w:r>
              <w:t xml:space="preserve">EON with </w:t>
            </w:r>
            <w:r w:rsidRPr="00E56336">
              <w:t>RWA</w:t>
            </w:r>
            <w:r>
              <w:t xml:space="preserve"> Scheme2</w:t>
            </w:r>
          </w:p>
        </w:tc>
      </w:tr>
      <w:tr w:rsidR="007A48CF" w:rsidRPr="00503412" w:rsidTr="00F10C9E">
        <w:trPr>
          <w:trHeight w:val="267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 1.0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10%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 20%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10%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20%</w:t>
            </w:r>
          </w:p>
        </w:tc>
      </w:tr>
      <w:tr w:rsidR="007A48CF" w:rsidRPr="00503412" w:rsidTr="00F10C9E">
        <w:trPr>
          <w:trHeight w:val="251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03412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</w:t>
            </w:r>
            <w:r w:rsidRPr="00503412">
              <w:rPr>
                <w:rFonts w:ascii="Times New Roman" w:hAnsi="Times New Roman" w:cs="Times New Roman"/>
              </w:rPr>
              <w:t xml:space="preserve">0%  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A48CF" w:rsidRPr="00503412" w:rsidTr="00F10C9E">
        <w:trPr>
          <w:trHeight w:val="251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 w:rsidRPr="00503412">
              <w:rPr>
                <w:rFonts w:ascii="Times New Roman" w:hAnsi="Times New Roman" w:cs="Times New Roman"/>
              </w:rPr>
              <w:t xml:space="preserve">             0.5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2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</w:tr>
      <w:tr w:rsidR="007A48CF" w:rsidRPr="00503412" w:rsidTr="00F10C9E">
        <w:trPr>
          <w:trHeight w:val="251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50341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2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50341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</w:tr>
      <w:tr w:rsidR="007A48CF" w:rsidRPr="00503412" w:rsidTr="00F10C9E">
        <w:trPr>
          <w:trHeight w:val="65"/>
        </w:trPr>
        <w:tc>
          <w:tcPr>
            <w:tcW w:w="1986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503412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31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904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2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879" w:type="dxa"/>
          </w:tcPr>
          <w:p w:rsidR="007A48CF" w:rsidRPr="00503412" w:rsidRDefault="007A48CF" w:rsidP="00F1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1</w:t>
            </w:r>
            <w:r w:rsidRPr="00503412">
              <w:rPr>
                <w:rFonts w:ascii="Times New Roman" w:hAnsi="Times New Roman" w:cs="Times New Roman"/>
              </w:rPr>
              <w:t>0%</w:t>
            </w:r>
          </w:p>
        </w:tc>
      </w:tr>
    </w:tbl>
    <w:p w:rsidR="007A48CF" w:rsidRDefault="007A48CF" w:rsidP="007A48CF"/>
    <w:p w:rsidR="007A48CF" w:rsidRPr="007A48CF" w:rsidRDefault="007A48CF" w:rsidP="007A48CF">
      <w:pPr>
        <w:ind w:left="360"/>
        <w:jc w:val="both"/>
        <w:rPr>
          <w:b/>
        </w:rPr>
      </w:pPr>
    </w:p>
    <w:sectPr w:rsidR="007A48CF" w:rsidRPr="007A48CF" w:rsidSect="00F622F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C8B" w:rsidRDefault="00BD7C8B" w:rsidP="00AF4302">
      <w:r>
        <w:separator/>
      </w:r>
    </w:p>
  </w:endnote>
  <w:endnote w:type="continuationSeparator" w:id="0">
    <w:p w:rsidR="00BD7C8B" w:rsidRDefault="00BD7C8B" w:rsidP="00AF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302" w:rsidRPr="00013AEA" w:rsidRDefault="00AF4302" w:rsidP="00AF4302">
    <w:pPr>
      <w:pStyle w:val="Footer"/>
      <w:rPr>
        <w:sz w:val="20"/>
        <w:szCs w:val="20"/>
        <w:lang w:val="fr-CA"/>
      </w:rPr>
    </w:pPr>
    <w:r w:rsidRPr="00013AEA">
      <w:rPr>
        <w:sz w:val="20"/>
        <w:szCs w:val="20"/>
        <w:lang w:val="fr-CA"/>
      </w:rPr>
      <w:t xml:space="preserve">Ferhan Jamal (100953487)  </w:t>
    </w:r>
    <w:hyperlink r:id="rId1" w:history="1">
      <w:r w:rsidRPr="00013AEA">
        <w:rPr>
          <w:rStyle w:val="Hyperlink"/>
          <w:sz w:val="20"/>
          <w:szCs w:val="20"/>
          <w:lang w:val="fr-CA"/>
        </w:rPr>
        <w:t>ferhan.jamal@carleton.ca</w:t>
      </w:r>
    </w:hyperlink>
  </w:p>
  <w:p w:rsidR="00AF4302" w:rsidRDefault="00AF4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C8B" w:rsidRDefault="00BD7C8B" w:rsidP="00AF4302">
      <w:r>
        <w:separator/>
      </w:r>
    </w:p>
  </w:footnote>
  <w:footnote w:type="continuationSeparator" w:id="0">
    <w:p w:rsidR="00BD7C8B" w:rsidRDefault="00BD7C8B" w:rsidP="00AF4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302" w:rsidRPr="008B6B88" w:rsidRDefault="00AF4302" w:rsidP="00AF4302">
    <w:pPr>
      <w:pStyle w:val="Header"/>
      <w:rPr>
        <w:sz w:val="20"/>
        <w:szCs w:val="20"/>
      </w:rPr>
    </w:pPr>
    <w:r w:rsidRPr="008B6B88">
      <w:rPr>
        <w:sz w:val="20"/>
        <w:szCs w:val="20"/>
      </w:rPr>
      <w:t>ELG 5383- Survivable</w:t>
    </w:r>
    <w:r>
      <w:rPr>
        <w:sz w:val="20"/>
        <w:szCs w:val="20"/>
      </w:rPr>
      <w:t xml:space="preserve"> Optical</w:t>
    </w:r>
    <w:r w:rsidRPr="008B6B88">
      <w:rPr>
        <w:sz w:val="20"/>
        <w:szCs w:val="20"/>
      </w:rPr>
      <w:t xml:space="preserve"> Net</w:t>
    </w:r>
    <w:r>
      <w:rPr>
        <w:sz w:val="20"/>
        <w:szCs w:val="20"/>
      </w:rPr>
      <w:t>works- Winter 2015</w:t>
    </w:r>
    <w:r>
      <w:rPr>
        <w:sz w:val="20"/>
        <w:szCs w:val="20"/>
      </w:rPr>
      <w:tab/>
    </w:r>
    <w:r>
      <w:rPr>
        <w:sz w:val="20"/>
        <w:szCs w:val="20"/>
      </w:rPr>
      <w:tab/>
      <w:t>Assignment#3</w:t>
    </w:r>
  </w:p>
  <w:p w:rsidR="00AF4302" w:rsidRDefault="00AF4302" w:rsidP="00AF4302">
    <w:pPr>
      <w:pStyle w:val="Header"/>
    </w:pPr>
  </w:p>
  <w:p w:rsidR="00AF4302" w:rsidRDefault="00AF4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4308"/>
    <w:multiLevelType w:val="hybridMultilevel"/>
    <w:tmpl w:val="C35C3B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D8"/>
    <w:rsid w:val="000E35D8"/>
    <w:rsid w:val="000F0AAB"/>
    <w:rsid w:val="001608ED"/>
    <w:rsid w:val="0026552A"/>
    <w:rsid w:val="00293E6C"/>
    <w:rsid w:val="00384AAA"/>
    <w:rsid w:val="003A7C11"/>
    <w:rsid w:val="004204DE"/>
    <w:rsid w:val="00455237"/>
    <w:rsid w:val="004E7602"/>
    <w:rsid w:val="005D1A58"/>
    <w:rsid w:val="006153B3"/>
    <w:rsid w:val="006337D7"/>
    <w:rsid w:val="006E3C7B"/>
    <w:rsid w:val="007615E3"/>
    <w:rsid w:val="007A48CF"/>
    <w:rsid w:val="007B4054"/>
    <w:rsid w:val="007F71B2"/>
    <w:rsid w:val="008700EE"/>
    <w:rsid w:val="00870AAD"/>
    <w:rsid w:val="008937C1"/>
    <w:rsid w:val="00940027"/>
    <w:rsid w:val="0095252C"/>
    <w:rsid w:val="009C4AEF"/>
    <w:rsid w:val="00AF4302"/>
    <w:rsid w:val="00B44BAC"/>
    <w:rsid w:val="00BD40D3"/>
    <w:rsid w:val="00BD7C8B"/>
    <w:rsid w:val="00C04F15"/>
    <w:rsid w:val="00C66A6B"/>
    <w:rsid w:val="00CB3FEC"/>
    <w:rsid w:val="00CF2100"/>
    <w:rsid w:val="00D127F9"/>
    <w:rsid w:val="00D75B9C"/>
    <w:rsid w:val="00E17683"/>
    <w:rsid w:val="00E35F8B"/>
    <w:rsid w:val="00E83D6C"/>
    <w:rsid w:val="00E971FC"/>
    <w:rsid w:val="00F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F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7A4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48CF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A48C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48C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F4302"/>
    <w:rPr>
      <w:lang w:eastAsia="ja-JP"/>
    </w:rPr>
  </w:style>
  <w:style w:type="paragraph" w:styleId="NoSpacing">
    <w:name w:val="No Spacing"/>
    <w:link w:val="NoSpacingChar"/>
    <w:uiPriority w:val="1"/>
    <w:qFormat/>
    <w:rsid w:val="00AF4302"/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F4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0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F4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02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AF43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F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7A4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48CF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A48C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48C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F4302"/>
    <w:rPr>
      <w:lang w:eastAsia="ja-JP"/>
    </w:rPr>
  </w:style>
  <w:style w:type="paragraph" w:styleId="NoSpacing">
    <w:name w:val="No Spacing"/>
    <w:link w:val="NoSpacingChar"/>
    <w:uiPriority w:val="1"/>
    <w:qFormat/>
    <w:rsid w:val="00AF4302"/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F4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0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F4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02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AF43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han.jamal@carleton.c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rhan\Documents\Winter%202015\Survivable%20Optical%20Network\survival%20optic\Winter%202015\Assignment%203\Graph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rhan\Documents\Winter%202015\Survivable%20Optical%20Network\survival%20optic\Winter%202015\Assignment%203\Graph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u="none" strike="noStrike" baseline="0" smtClean="0">
                <a:latin typeface="Times New Roman" pitchFamily="18" charset="0"/>
                <a:cs typeface="Times New Roman" pitchFamily="18" charset="0"/>
              </a:rPr>
              <a:t>Blocking probability vs.   |W|</a:t>
            </a:r>
          </a:p>
          <a:p>
            <a:pPr>
              <a:defRPr/>
            </a:pPr>
            <a:r>
              <a:rPr lang="en-US" sz="1200" b="1" i="0" u="none" strike="noStrike" baseline="0" smtClean="0">
                <a:latin typeface="Times New Roman" pitchFamily="18" charset="0"/>
                <a:cs typeface="Times New Roman" pitchFamily="18" charset="0"/>
              </a:rPr>
              <a:t>   (Traffic Factor = 0.5) </a:t>
            </a:r>
            <a:r>
              <a:rPr lang="en-US" sz="1800" b="0" i="0" u="none" strike="noStrike" baseline="0" smtClean="0"/>
              <a:t> </a:t>
            </a:r>
          </a:p>
        </c:rich>
      </c:tx>
      <c:layout>
        <c:manualLayout>
          <c:xMode val="edge"/>
          <c:yMode val="edge"/>
          <c:x val="0.24993983152827917"/>
          <c:y val="2.4242424242424242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WC=0%</c:v>
          </c:tx>
          <c:marker>
            <c:symbol val="none"/>
          </c:marker>
          <c:cat>
            <c:numRef>
              <c:f>Sheet1!$A$1:$A$10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</c:numCache>
            </c:num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60.8767</c:v>
                </c:pt>
                <c:pt idx="1">
                  <c:v>46.173499999999997</c:v>
                </c:pt>
                <c:pt idx="2">
                  <c:v>33.24</c:v>
                </c:pt>
                <c:pt idx="3">
                  <c:v>20.661999999999999</c:v>
                </c:pt>
                <c:pt idx="4">
                  <c:v>9.9387000000000008</c:v>
                </c:pt>
                <c:pt idx="5">
                  <c:v>3.2267000000000001</c:v>
                </c:pt>
                <c:pt idx="6">
                  <c:v>0.94579999999999997</c:v>
                </c:pt>
                <c:pt idx="7">
                  <c:v>0.2576</c:v>
                </c:pt>
                <c:pt idx="8">
                  <c:v>0.1492</c:v>
                </c:pt>
                <c:pt idx="9">
                  <c:v>0</c:v>
                </c:pt>
              </c:numCache>
            </c:numRef>
          </c:val>
          <c:smooth val="0"/>
        </c:ser>
        <c:ser>
          <c:idx val="0"/>
          <c:order val="1"/>
          <c:tx>
            <c:v>WC=10%</c:v>
          </c:tx>
          <c:marker>
            <c:symbol val="none"/>
          </c:marker>
          <c:val>
            <c:numRef>
              <c:f>Sheet1!$A$12:$A$21</c:f>
              <c:numCache>
                <c:formatCode>General</c:formatCode>
                <c:ptCount val="10"/>
                <c:pt idx="0">
                  <c:v>60.8767</c:v>
                </c:pt>
                <c:pt idx="1">
                  <c:v>46.173499999999997</c:v>
                </c:pt>
                <c:pt idx="2">
                  <c:v>33.24</c:v>
                </c:pt>
                <c:pt idx="3">
                  <c:v>20.661999999999999</c:v>
                </c:pt>
                <c:pt idx="4">
                  <c:v>9.9387000000000008</c:v>
                </c:pt>
                <c:pt idx="5">
                  <c:v>3.2267000000000001</c:v>
                </c:pt>
                <c:pt idx="6">
                  <c:v>0.94579999999999997</c:v>
                </c:pt>
                <c:pt idx="7">
                  <c:v>0.2576</c:v>
                </c:pt>
                <c:pt idx="8">
                  <c:v>0.1492</c:v>
                </c:pt>
                <c:pt idx="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v>WC=20%</c:v>
          </c:tx>
          <c:marker>
            <c:symbol val="none"/>
          </c:marker>
          <c:val>
            <c:numRef>
              <c:f>Sheet1!$A$23:$A$31</c:f>
              <c:numCache>
                <c:formatCode>General</c:formatCode>
                <c:ptCount val="9"/>
                <c:pt idx="0">
                  <c:v>60.8767</c:v>
                </c:pt>
                <c:pt idx="1">
                  <c:v>46.173499999999997</c:v>
                </c:pt>
                <c:pt idx="2">
                  <c:v>32.1845</c:v>
                </c:pt>
                <c:pt idx="3">
                  <c:v>19.3291</c:v>
                </c:pt>
                <c:pt idx="4">
                  <c:v>9.1450999999999993</c:v>
                </c:pt>
                <c:pt idx="5">
                  <c:v>2.7551000000000001</c:v>
                </c:pt>
                <c:pt idx="6">
                  <c:v>0.50409999999999999</c:v>
                </c:pt>
                <c:pt idx="7">
                  <c:v>7.3099999999999998E-2</c:v>
                </c:pt>
                <c:pt idx="8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v>WC=30%</c:v>
          </c:tx>
          <c:marker>
            <c:symbol val="none"/>
          </c:marker>
          <c:val>
            <c:numRef>
              <c:f>Sheet1!$A$33:$A$41</c:f>
              <c:numCache>
                <c:formatCode>General</c:formatCode>
                <c:ptCount val="9"/>
                <c:pt idx="0">
                  <c:v>60.8767</c:v>
                </c:pt>
                <c:pt idx="1">
                  <c:v>45.184800000000003</c:v>
                </c:pt>
                <c:pt idx="2">
                  <c:v>31.997499999999999</c:v>
                </c:pt>
                <c:pt idx="3">
                  <c:v>19.072099999999999</c:v>
                </c:pt>
                <c:pt idx="4">
                  <c:v>8.3421000000000003</c:v>
                </c:pt>
                <c:pt idx="5">
                  <c:v>2.7021999999999999</c:v>
                </c:pt>
                <c:pt idx="6">
                  <c:v>0.52429999999999999</c:v>
                </c:pt>
                <c:pt idx="7">
                  <c:v>0.1087</c:v>
                </c:pt>
                <c:pt idx="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v>WC=40%</c:v>
          </c:tx>
          <c:marker>
            <c:symbol val="none"/>
          </c:marker>
          <c:val>
            <c:numRef>
              <c:f>Sheet1!$A$33:$A$41</c:f>
              <c:numCache>
                <c:formatCode>General</c:formatCode>
                <c:ptCount val="9"/>
                <c:pt idx="0">
                  <c:v>60.8767</c:v>
                </c:pt>
                <c:pt idx="1">
                  <c:v>45.184800000000003</c:v>
                </c:pt>
                <c:pt idx="2">
                  <c:v>31.997499999999999</c:v>
                </c:pt>
                <c:pt idx="3">
                  <c:v>19.072099999999999</c:v>
                </c:pt>
                <c:pt idx="4">
                  <c:v>8.3421000000000003</c:v>
                </c:pt>
                <c:pt idx="5">
                  <c:v>2.7021999999999999</c:v>
                </c:pt>
                <c:pt idx="6">
                  <c:v>0.52429999999999999</c:v>
                </c:pt>
                <c:pt idx="7">
                  <c:v>0.1087</c:v>
                </c:pt>
                <c:pt idx="8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v>WC=50%</c:v>
          </c:tx>
          <c:marker>
            <c:symbol val="none"/>
          </c:marker>
          <c:val>
            <c:numRef>
              <c:f>Sheet1!$A$54:$A$62</c:f>
              <c:numCache>
                <c:formatCode>General</c:formatCode>
                <c:ptCount val="9"/>
                <c:pt idx="0">
                  <c:v>62.033900000000003</c:v>
                </c:pt>
                <c:pt idx="1">
                  <c:v>46.600299999999997</c:v>
                </c:pt>
                <c:pt idx="2">
                  <c:v>32.556100000000001</c:v>
                </c:pt>
                <c:pt idx="3">
                  <c:v>19.342099999999999</c:v>
                </c:pt>
                <c:pt idx="4">
                  <c:v>8.7850000000000001</c:v>
                </c:pt>
                <c:pt idx="5">
                  <c:v>2.2530999999999999</c:v>
                </c:pt>
                <c:pt idx="6">
                  <c:v>0.64990000000000003</c:v>
                </c:pt>
                <c:pt idx="7">
                  <c:v>0.11609999999999999</c:v>
                </c:pt>
                <c:pt idx="8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v>WC=60%</c:v>
          </c:tx>
          <c:marker>
            <c:symbol val="none"/>
          </c:marker>
          <c:val>
            <c:numRef>
              <c:f>Sheet1!$A$64:$A$72</c:f>
              <c:numCache>
                <c:formatCode>General</c:formatCode>
                <c:ptCount val="9"/>
                <c:pt idx="0">
                  <c:v>62.033900000000003</c:v>
                </c:pt>
                <c:pt idx="1">
                  <c:v>46.600299999999997</c:v>
                </c:pt>
                <c:pt idx="2">
                  <c:v>32.438200000000002</c:v>
                </c:pt>
                <c:pt idx="3">
                  <c:v>19.601400000000002</c:v>
                </c:pt>
                <c:pt idx="4">
                  <c:v>8.6859000000000002</c:v>
                </c:pt>
                <c:pt idx="5">
                  <c:v>2.3447</c:v>
                </c:pt>
                <c:pt idx="6">
                  <c:v>0.60270000000000001</c:v>
                </c:pt>
                <c:pt idx="7">
                  <c:v>0.19420000000000001</c:v>
                </c:pt>
                <c:pt idx="8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v>WC=70%</c:v>
          </c:tx>
          <c:marker>
            <c:symbol val="none"/>
          </c:marker>
          <c:val>
            <c:numRef>
              <c:f>Sheet1!$A$74:$A$83</c:f>
              <c:numCache>
                <c:formatCode>General</c:formatCode>
                <c:ptCount val="10"/>
                <c:pt idx="0">
                  <c:v>62.258400000000002</c:v>
                </c:pt>
                <c:pt idx="1">
                  <c:v>46.996200000000002</c:v>
                </c:pt>
                <c:pt idx="2">
                  <c:v>32.9069</c:v>
                </c:pt>
                <c:pt idx="3">
                  <c:v>19.245699999999999</c:v>
                </c:pt>
                <c:pt idx="4">
                  <c:v>8.9512999999999998</c:v>
                </c:pt>
                <c:pt idx="5">
                  <c:v>2.6522000000000001</c:v>
                </c:pt>
                <c:pt idx="6">
                  <c:v>0.52939999999999998</c:v>
                </c:pt>
                <c:pt idx="7">
                  <c:v>0.2293</c:v>
                </c:pt>
                <c:pt idx="8">
                  <c:v>0.18970000000000001</c:v>
                </c:pt>
                <c:pt idx="9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v>WC=80%</c:v>
          </c:tx>
          <c:marker>
            <c:symbol val="none"/>
          </c:marker>
          <c:val>
            <c:numRef>
              <c:f>Sheet1!$A$85:$A$93</c:f>
              <c:numCache>
                <c:formatCode>General</c:formatCode>
                <c:ptCount val="9"/>
                <c:pt idx="0">
                  <c:v>62.258400000000002</c:v>
                </c:pt>
                <c:pt idx="1">
                  <c:v>46.863399999999999</c:v>
                </c:pt>
                <c:pt idx="2">
                  <c:v>32.905299999999997</c:v>
                </c:pt>
                <c:pt idx="3">
                  <c:v>19.366800000000001</c:v>
                </c:pt>
                <c:pt idx="4">
                  <c:v>8.8074999999999992</c:v>
                </c:pt>
                <c:pt idx="5">
                  <c:v>2.7637999999999998</c:v>
                </c:pt>
                <c:pt idx="6">
                  <c:v>0.73919999999999997</c:v>
                </c:pt>
                <c:pt idx="7">
                  <c:v>0.24959999999999999</c:v>
                </c:pt>
                <c:pt idx="8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v>WC=90%</c:v>
          </c:tx>
          <c:marker>
            <c:symbol val="none"/>
          </c:marker>
          <c:val>
            <c:numRef>
              <c:f>Sheet1!$A$95:$A$103</c:f>
              <c:numCache>
                <c:formatCode>General</c:formatCode>
                <c:ptCount val="9"/>
                <c:pt idx="0">
                  <c:v>62.258400000000002</c:v>
                </c:pt>
                <c:pt idx="1">
                  <c:v>46.863399999999999</c:v>
                </c:pt>
                <c:pt idx="2">
                  <c:v>32.808</c:v>
                </c:pt>
                <c:pt idx="3">
                  <c:v>19.492100000000001</c:v>
                </c:pt>
                <c:pt idx="4">
                  <c:v>8.7880000000000003</c:v>
                </c:pt>
                <c:pt idx="5">
                  <c:v>2.7898000000000001</c:v>
                </c:pt>
                <c:pt idx="6">
                  <c:v>0.67989999999999995</c:v>
                </c:pt>
                <c:pt idx="7">
                  <c:v>0.30609999999999998</c:v>
                </c:pt>
                <c:pt idx="8">
                  <c:v>0</c:v>
                </c:pt>
              </c:numCache>
            </c:numRef>
          </c:val>
          <c:smooth val="0"/>
        </c:ser>
        <c:ser>
          <c:idx val="10"/>
          <c:order val="10"/>
          <c:tx>
            <c:v>WC=100%</c:v>
          </c:tx>
          <c:marker>
            <c:symbol val="none"/>
          </c:marker>
          <c:val>
            <c:numRef>
              <c:f>Sheet1!$A$105:$A$113</c:f>
              <c:numCache>
                <c:formatCode>General</c:formatCode>
                <c:ptCount val="9"/>
                <c:pt idx="0">
                  <c:v>62.258400000000002</c:v>
                </c:pt>
                <c:pt idx="1">
                  <c:v>46.863399999999999</c:v>
                </c:pt>
                <c:pt idx="2">
                  <c:v>32.808</c:v>
                </c:pt>
                <c:pt idx="3">
                  <c:v>19.492100000000001</c:v>
                </c:pt>
                <c:pt idx="4">
                  <c:v>8.7880000000000003</c:v>
                </c:pt>
                <c:pt idx="5">
                  <c:v>2.7898000000000001</c:v>
                </c:pt>
                <c:pt idx="6">
                  <c:v>0.67989999999999995</c:v>
                </c:pt>
                <c:pt idx="7">
                  <c:v>0.30609999999999998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544576"/>
        <c:axId val="80709120"/>
      </c:lineChart>
      <c:catAx>
        <c:axId val="49544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Number of Wavelengths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709120"/>
        <c:crosses val="autoZero"/>
        <c:auto val="1"/>
        <c:lblAlgn val="ctr"/>
        <c:lblOffset val="100"/>
        <c:noMultiLvlLbl val="0"/>
      </c:catAx>
      <c:valAx>
        <c:axId val="80709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>
                    <a:latin typeface="Times New Roman" pitchFamily="18" charset="0"/>
                    <a:cs typeface="Times New Roman" pitchFamily="18" charset="0"/>
                  </a:rPr>
                  <a:t>Blocking Probability</a:t>
                </a:r>
                <a:r>
                  <a:rPr lang="en-US" sz="1200" b="1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b="1">
                    <a:latin typeface="Times New Roman" pitchFamily="18" charset="0"/>
                    <a:cs typeface="Times New Roman" pitchFamily="18" charset="0"/>
                  </a:rPr>
                  <a:t>(%)</a:t>
                </a:r>
              </a:p>
            </c:rich>
          </c:tx>
          <c:layout>
            <c:manualLayout>
              <c:xMode val="edge"/>
              <c:yMode val="edge"/>
              <c:x val="2.4067388688327317E-2"/>
              <c:y val="0.2234359341445955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95445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332120488549042"/>
          <c:y val="3.5244094488188979E-2"/>
          <c:w val="0.1722383619015132"/>
          <c:h val="0.9647559055118110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>
                <a:latin typeface="Times New Roman" pitchFamily="18" charset="0"/>
                <a:cs typeface="Times New Roman" pitchFamily="18" charset="0"/>
              </a:rPr>
              <a:t>Gain in Network Cost vs WC% 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Cost Gain</c:v>
          </c:tx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0.25</c:v>
                </c:pt>
                <c:pt idx="2">
                  <c:v>0.17</c:v>
                </c:pt>
                <c:pt idx="3">
                  <c:v>0.254</c:v>
                </c:pt>
                <c:pt idx="4">
                  <c:v>0.33400000000000002</c:v>
                </c:pt>
                <c:pt idx="5">
                  <c:v>0.437</c:v>
                </c:pt>
                <c:pt idx="6">
                  <c:v>0.50600000000000001</c:v>
                </c:pt>
                <c:pt idx="7">
                  <c:v>0.6</c:v>
                </c:pt>
                <c:pt idx="8">
                  <c:v>0.69399999999999995</c:v>
                </c:pt>
                <c:pt idx="9">
                  <c:v>0.79</c:v>
                </c:pt>
                <c:pt idx="10">
                  <c:v>0.81499999999999995</c:v>
                </c:pt>
              </c:numCache>
            </c:numRef>
          </c:val>
          <c:smooth val="0"/>
        </c:ser>
        <c:ser>
          <c:idx val="1"/>
          <c:order val="1"/>
          <c:tx>
            <c:v>Performance Gain</c:v>
          </c:tx>
          <c:marker>
            <c:symbol val="none"/>
          </c:marker>
          <c:val>
            <c:numRef>
              <c:f>Sheet1!$B$16:$B$26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0.29799999999999999</c:v>
                </c:pt>
                <c:pt idx="3">
                  <c:v>0.70899999999999996</c:v>
                </c:pt>
                <c:pt idx="4">
                  <c:v>0.65300000000000002</c:v>
                </c:pt>
                <c:pt idx="5">
                  <c:v>0.65</c:v>
                </c:pt>
                <c:pt idx="6">
                  <c:v>0.65</c:v>
                </c:pt>
                <c:pt idx="7">
                  <c:v>0.69199999999999995</c:v>
                </c:pt>
                <c:pt idx="8">
                  <c:v>0.72</c:v>
                </c:pt>
                <c:pt idx="9">
                  <c:v>0.72</c:v>
                </c:pt>
                <c:pt idx="10">
                  <c:v>0.72</c:v>
                </c:pt>
              </c:numCache>
            </c:numRef>
          </c:val>
          <c:smooth val="0"/>
        </c:ser>
        <c:ser>
          <c:idx val="2"/>
          <c:order val="2"/>
          <c:tx>
            <c:v>Gain Ratio</c:v>
          </c:tx>
          <c:marker>
            <c:symbol val="none"/>
          </c:marker>
          <c:val>
            <c:numRef>
              <c:f>Sheet1!$B$30:$B$40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2.3290000000000002</c:v>
                </c:pt>
                <c:pt idx="3">
                  <c:v>3.089</c:v>
                </c:pt>
                <c:pt idx="4">
                  <c:v>1.952</c:v>
                </c:pt>
                <c:pt idx="5">
                  <c:v>1.4890000000000001</c:v>
                </c:pt>
                <c:pt idx="6">
                  <c:v>1.41</c:v>
                </c:pt>
                <c:pt idx="7">
                  <c:v>1.2290000000000001</c:v>
                </c:pt>
                <c:pt idx="8">
                  <c:v>1.085</c:v>
                </c:pt>
                <c:pt idx="9">
                  <c:v>0.94099999999999995</c:v>
                </c:pt>
                <c:pt idx="10">
                  <c:v>0.91300000000000003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735616"/>
        <c:axId val="80737792"/>
      </c:lineChart>
      <c:catAx>
        <c:axId val="8073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Percentage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of WC (x100%)</a:t>
                </a:r>
                <a:endParaRPr lang="en-US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737792"/>
        <c:crosses val="autoZero"/>
        <c:auto val="1"/>
        <c:lblAlgn val="ctr"/>
        <c:lblOffset val="100"/>
        <c:noMultiLvlLbl val="0"/>
      </c:catAx>
      <c:valAx>
        <c:axId val="80737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Ratio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Values</a:t>
                </a:r>
                <a:endParaRPr lang="en-US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735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Ottawa Carleton Institute for Electrical and Computer Engineering</vt:lpstr>
    </vt:vector>
  </TitlesOfParts>
  <Company>scs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Ottawa Carleton Institute for Electrical and Computer Engineering</dc:title>
  <dc:creator>COEMASTER</dc:creator>
  <cp:lastModifiedBy>Ferhan Jamal</cp:lastModifiedBy>
  <cp:revision>5</cp:revision>
  <cp:lastPrinted>2004-02-12T23:23:00Z</cp:lastPrinted>
  <dcterms:created xsi:type="dcterms:W3CDTF">2015-03-30T04:42:00Z</dcterms:created>
  <dcterms:modified xsi:type="dcterms:W3CDTF">2015-03-30T04:56:00Z</dcterms:modified>
</cp:coreProperties>
</file>