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Ludwigia grandiflora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aba205751055e65f00b3fb46b9c8152eba19efbd.png"/>
<Relationship Id="rId8" Type="http://schemas.openxmlformats.org/officeDocument/2006/relationships/image" Target="media/8005d7717fb4e06594c6fd2a78ac5bd724c641c8.jpeg"/>
<Relationship Id="rId9" Type="http://schemas.openxmlformats.org/officeDocument/2006/relationships/image" Target="media/4c75c4f63b52f0dd8c8a901d10b035bf4c7edcd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2024-07-05T14:43:40Z</dcterms:modified>
  <cp:category/>
</cp:coreProperties>
</file>