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Verspreiding van Reynoutria bohemica</w:t>
      </w:r>
    </w:p>
    <w:p>
      <w:pPr>
        <w:pStyle w:val="Normal"/>
      </w:pPr>
      <w:r>
        <w:t xml:space="preserve">Dit is wat tekst.</w:t>
      </w:r>
    </w:p>
    <w:p>
      <w:pPr>
        <w:pStyle w:val="Titre2"/>
      </w:pPr>
      <w:r>
        <w:t xml:space="preserve">Aanwezigheid tussen 2010-2023</w:t>
      </w:r>
    </w:p>
    <w:p>
      <w:pPr>
        <w:pStyle w:val="Normal"/>
      </w:pPr>
      <w:r>
        <w:t xml:space="preserve">	☑ aanwezig ☐ afwezig ☐ sporadisch</w:t>
      </w:r>
    </w:p>
    <w:p>
      <w:pPr>
        <w:pStyle w:val="Titre2"/>
      </w:pPr>
      <w:r>
        <w:t xml:space="preserve">Is de soort opkomend?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2024-07-05T14:34:51Z</dcterms:modified>
  <cp:category/>
</cp:coreProperties>
</file>