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Spiraea billardii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831d9a2f536a378cd507d060b79e51349b0c4fc4.png"/>
<Relationship Id="rId8" Type="http://schemas.openxmlformats.org/officeDocument/2006/relationships/image" Target="media/bf0f9bf3e9f75508fa6229ef058516230e2f05c7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2024-07-05T14:43:51Z</dcterms:modified>
  <cp:category/>
</cp:coreProperties>
</file>