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Spiraea tomentosa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Normal"/>
      </w:pPr>
      <w:r>
        <w:rPr/>
        <w:drawing>
          <wp:inline distT="0" distB="0" distL="0" distR="0">
            <wp:extent cx="5486400" cy="2487168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34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Titre2"/>
      </w:pPr>
      <w:r>
        <w:t xml:space="preserve">Is de soort opkomend?</w:t>
      </w:r>
    </w:p>
    <w:p>
      <w:pPr>
        <w:pStyle w:val="Titre3"/>
      </w:pPr>
      <w:r>
        <w:t xml:space="preserve">In Vlaanderen</w:t>
      </w:r>
    </w:p>
    <w:p>
      <w:pPr>
        <w:pStyle w:val="Normal"/>
      </w:pPr>
      <w:r>
        <w:rPr/>
        <w:drawing>
          <wp:inline distT="0" distB="0" distL="0" distR="0">
            <wp:extent cx="2743200" cy="1243584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1727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4cf65fa6848dbb65f28f51f0d38fd9fcc9cf64df.png"/>
<Relationship Id="rId8" Type="http://schemas.openxmlformats.org/officeDocument/2006/relationships/image" Target="media/6d05189f8a76c3c856b37bf58f4aa98ab15cbb72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2024-07-05T14:43:51Z</dcterms:modified>
  <cp:category/>
</cp:coreProperties>
</file>