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40"/>
      </w:pPr>
    </w:p>
    <w:p>
      <w:pPr>
        <w:widowControl/>
        <w:spacing w:after="240"/>
      </w:pPr>
    </w:p>
    <w:p>
      <w:pPr>
        <w:widowControl/>
        <w:spacing w:after="240"/>
      </w:pPr>
    </w:p>
    <w:p>
      <w:pPr>
        <w:widowControl/>
        <w:spacing w:after="240"/>
      </w:pPr>
    </w:p>
    <w:p>
      <w:pPr>
        <w:widowControl/>
        <w:spacing w:after="360"/>
        <w:jc w:val="center"/>
      </w:pPr>
      <w:r>
        <w:rPr>
          <w:rFonts w:ascii="Calibri" w:hAnsi="Calibri"/>
          <w:b/>
          <w:color w:val="2E7D79"/>
          <w:sz w:val="20"/>
        </w:rPr>
        <w:t>FINAL CHALLENGE PREPARATION</w:t>
      </w:r>
    </w:p>
    <w:p>
      <w:pPr>
        <w:widowControl/>
        <w:spacing w:after="160"/>
        <w:jc w:val="center"/>
      </w:pPr>
      <w:r>
        <w:rPr>
          <w:rFonts w:ascii="Calibri" w:hAnsi="Calibri"/>
          <w:b/>
          <w:color w:val="173B57"/>
          <w:sz w:val="60"/>
        </w:rPr>
        <w:t>Cursor Final Challenge</w:t>
      </w:r>
    </w:p>
    <w:p>
      <w:pPr>
        <w:widowControl/>
        <w:spacing w:after="400"/>
        <w:jc w:val="center"/>
      </w:pPr>
      <w:r>
        <w:rPr>
          <w:rFonts w:ascii="Calibri" w:hAnsi="Calibri"/>
          <w:b w:val="0"/>
          <w:color w:val="2E74B5"/>
          <w:sz w:val="40"/>
        </w:rPr>
        <w:t>Study Guide</w:t>
      </w:r>
    </w:p>
    <w:p>
      <w:pPr>
        <w:widowControl/>
        <w:spacing w:after="560" w:line="300" w:lineRule="auto"/>
        <w:ind w:left="648" w:right="648"/>
        <w:jc w:val="center"/>
      </w:pPr>
      <w:r>
        <w:rPr>
          <w:rFonts w:ascii="Calibri" w:hAnsi="Calibri"/>
          <w:color w:val="5E6B75"/>
          <w:sz w:val="24"/>
        </w:rPr>
        <w:t>A practical guide to the account judgment, evidence design, stakeholder choreography, technical proof, and interview behavior you need to show.</w:t>
      </w:r>
    </w:p>
    <w:p>
      <w:pPr>
        <w:spacing w:before="360" w:after="160"/>
        <w:jc w:val="center"/>
        <w:widowControl/>
        <w:pBdr>
          <w:top w:val="single" w:sz="16" w:space="10" w:color="2E7D79"/>
        </w:pBdr>
      </w:pPr>
      <w:r>
        <w:rPr>
          <w:rFonts w:ascii="Calibri" w:hAnsi="Calibri"/>
          <w:b/>
          <w:color w:val="2E7D79"/>
          <w:sz w:val="18"/>
        </w:rPr>
        <w:t>Your north star</w:t>
      </w:r>
    </w:p>
    <w:p>
      <w:pPr>
        <w:widowControl/>
        <w:spacing w:after="960"/>
        <w:ind w:left="720" w:right="720"/>
        <w:jc w:val="center"/>
      </w:pPr>
      <w:r>
        <w:rPr>
          <w:rFonts w:ascii="Calibri" w:hAnsi="Calibri"/>
          <w:b/>
          <w:color w:val="173B57"/>
          <w:sz w:val="25"/>
        </w:rPr>
        <w:t>Use one strong team to test a governed onboarding workflow, prove speed without sacrificing quality, transfer ownership to Acme, and turn honest evidence into a renewal decision.</w:t>
      </w:r>
    </w:p>
    <w:p>
      <w:pPr>
        <w:widowControl/>
        <w:spacing w:after="40"/>
        <w:jc w:val="center"/>
      </w:pPr>
      <w:r>
        <w:rPr>
          <w:rFonts w:ascii="Calibri" w:hAnsi="Calibri"/>
          <w:color w:val="5E6B75"/>
          <w:sz w:val="19"/>
        </w:rPr>
        <w:t>Synthesized from ./challenge-prep</w:t>
      </w:r>
    </w:p>
    <w:p>
      <w:pPr>
        <w:widowControl/>
        <w:jc w:val="center"/>
      </w:pPr>
      <w:r>
        <w:rPr>
          <w:rFonts w:ascii="Calibri" w:hAnsi="Calibri"/>
          <w:color w:val="5E6B75"/>
          <w:sz w:val="19"/>
        </w:rPr>
        <w:t>July 2026</w:t>
      </w:r>
    </w:p>
    <w:p>
      <w:pPr>
        <w:widowControl/>
      </w:pPr>
      <w:r>
        <w:br w:type="page"/>
      </w:r>
    </w:p>
    <w:p>
      <w:pPr>
        <w:pStyle w:val="Heading1"/>
        <w:keepNext/>
        <w:keepLines/>
        <w:widowControl/>
      </w:pPr>
      <w:r>
        <w:t>How to use this guide</w:t>
      </w:r>
    </w:p>
    <w:p>
      <w:pPr>
        <w:pStyle w:val="LeadCallout"/>
        <w:shd w:fill="E8F4F2"/>
        <w:pBdr>
          <w:left w:val="single" w:sz="18" w:space="7" w:color="2E7D79"/>
        </w:pBdr>
        <w:keepLines/>
        <w:widowControl/>
      </w:pPr>
      <w:r>
        <w:rPr>
          <w:b/>
          <w:color w:val="2E7D79"/>
        </w:rPr>
        <w:t xml:space="preserve">Best use  </w:t>
      </w:r>
      <w:r>
        <w:t>Read sections 1–6 to understand the logic. Rehearse sections 7–10 aloud. Use sections 11–13 as your final-day review. The goal is not to memorize a deck; it is to make your judgment fast, visible, and defensible.</w:t>
      </w:r>
    </w:p>
    <w:p>
      <w:pPr>
        <w:keepLines/>
        <w:widowControl/>
      </w:pPr>
      <w:r>
        <w:rPr>
          <w:i w:val="0"/>
        </w:rPr>
        <w:t>The final challenge rewards an operating conversation, not a feature tour. You should sound like a future account partner who can connect a technical workflow to customer ownership, credible evidence, and a commercial decision.</w:t>
      </w:r>
    </w:p>
    <w:p>
      <w:pPr>
        <w:pStyle w:val="Heading2"/>
        <w:keepNext/>
        <w:keepLines/>
        <w:widowControl/>
      </w:pPr>
      <w:r>
        <w:t>The three layers to master</w:t>
      </w:r>
    </w:p>
    <w:p>
      <w:pPr>
        <w:numPr>
          <w:ilvl w:val="0"/>
          <w:numId w:val="11"/>
        </w:numPr>
        <w:keepLines/>
        <w:widowControl/>
      </w:pPr>
      <w:r>
        <w:rPr>
          <w:b/>
        </w:rPr>
        <w:t>Account judgment.</w:t>
      </w:r>
      <w:r>
        <w:t xml:space="preserve"> Diagnose the real problem, choose a narrow wedge, and name the political and operational owners.</w:t>
      </w:r>
    </w:p>
    <w:p>
      <w:pPr>
        <w:numPr>
          <w:ilvl w:val="0"/>
          <w:numId w:val="11"/>
        </w:numPr>
        <w:keepLines/>
        <w:widowControl/>
      </w:pPr>
      <w:r>
        <w:rPr>
          <w:b/>
        </w:rPr>
        <w:t>Evidence discipline.</w:t>
      </w:r>
      <w:r>
        <w:t xml:space="preserve"> Define success before results exist, preserve quality as a hard guardrail, and label uncertainty honestly.</w:t>
      </w:r>
    </w:p>
    <w:p>
      <w:pPr>
        <w:numPr>
          <w:ilvl w:val="0"/>
          <w:numId w:val="11"/>
        </w:numPr>
        <w:keepLines/>
        <w:widowControl/>
      </w:pPr>
      <w:r>
        <w:rPr>
          <w:b/>
        </w:rPr>
        <w:t>Facilitation.</w:t>
      </w:r>
      <w:r>
        <w:t xml:space="preserve"> Pull the interviewers into role, expose assumptions, ask for decisions, arbitrate tensions, and close with owners and next actions.</w:t>
      </w:r>
    </w:p>
    <w:p>
      <w:pPr>
        <w:pStyle w:val="Heading2"/>
        <w:keepNext/>
        <w:keepLines/>
        <w:widowControl/>
      </w:pPr>
      <w:r>
        <w:t>Role shorthand</w:t>
      </w:r>
    </w:p>
    <w:p>
      <w:pPr>
        <w:keepLines/>
        <w:widowControl/>
      </w:pPr>
      <w:r>
        <w:rPr>
          <w:i w:val="0"/>
        </w:rPr>
        <w:t>SA = Solutions Architect (you). ADM = AI Deployment Manager. AE = Account Executive. FE = Field Engineer. RD = Regional Director. These are Cursor account-team roles. The two interviewers flex between them during the working session; nobody is playing the customer.</w:t>
      </w:r>
    </w:p>
    <w:p>
      <w:pPr>
        <w:pStyle w:val="Heading2"/>
        <w:keepNext/>
        <w:keepLines/>
        <w:widowControl/>
      </w:pPr>
      <w:r>
        <w:t>Contents</w:t>
      </w:r>
    </w:p>
    <w:p>
      <w:pPr>
        <w:keepLines/>
        <w:widowControl/>
      </w:pPr>
      <w:r>
        <w:rPr>
          <w:i w:val="0"/>
        </w:rPr>
        <w:t>1. Challenge signals  •  2. Account thesis  •  3. Stakeholder system  •  4. Evidence contract  •  5. Engagement plan  •  6. Cursor capabilities  •  7. Working session</w:t>
      </w:r>
    </w:p>
    <w:p>
      <w:pPr>
        <w:pStyle w:val="CompactNote"/>
        <w:keepLines/>
        <w:widowControl/>
      </w:pPr>
      <w:r>
        <w:rPr>
          <w:i w:val="0"/>
        </w:rPr>
        <w:t>8. Technical proof  •  9. Pushback  •  10. Other interviews and Ally call  •  11. Talk tracks  •  12. Rehearsal  •  13. Final memory sheet</w:t>
      </w:r>
    </w:p>
    <w:p>
      <w:pPr>
        <w:widowControl/>
      </w:pPr>
      <w:r>
        <w:br w:type="page"/>
      </w:r>
    </w:p>
    <w:p>
      <w:pPr>
        <w:pStyle w:val="Heading1"/>
        <w:keepNext/>
        <w:keepLines/>
        <w:widowControl/>
      </w:pPr>
      <w:r>
        <w:t>1. What the challenge is really testing</w:t>
      </w:r>
    </w:p>
    <w:p>
      <w:pPr>
        <w:pStyle w:val="LeadCallout"/>
        <w:shd w:fill="E8F1F7"/>
        <w:pBdr>
          <w:left w:val="single" w:sz="18" w:space="7" w:color="2E74B5"/>
        </w:pBdr>
        <w:keepLines/>
        <w:widowControl/>
      </w:pPr>
      <w:r>
        <w:rPr>
          <w:b/>
          <w:color w:val="2E74B5"/>
        </w:rPr>
        <w:t xml:space="preserve">Core idea  </w:t>
      </w:r>
      <w:r>
        <w:t>The interviewers already saw technical depth. The final challenge asks whether you can turn that depth into a customer-owned operating change, a visible co-creation process, a governed software-factory path, and a credible renewal story.</w:t>
      </w:r>
    </w:p>
    <w:p>
      <w:pPr>
        <w:pStyle w:val="Heading2"/>
        <w:keepNext/>
        <w:keepLines/>
        <w:widowControl/>
      </w:pPr>
      <w:r>
        <w:t>The assignment is a working session</w:t>
      </w:r>
    </w:p>
    <w:p>
      <w:pPr>
        <w:keepLines/>
        <w:widowControl/>
      </w:pPr>
      <w:r>
        <w:rPr>
          <w:i w:val="0"/>
        </w:rPr>
        <w:t>Treat the interviewers as Cursor’s internal Acme account team. Establish who is playing ADM, AE or FE, and RD. Then work with them: make assumptions visible, ask for account judgment, invite disagreement, assign owners, and land decisions.</w:t>
      </w:r>
    </w:p>
    <w:p>
      <w:pPr>
        <w:keepLines/>
        <w:widowControl/>
      </w:pPr>
      <w:r>
        <w:rPr>
          <w:i w:val="0"/>
        </w:rPr>
        <w:t>Why: a strong SA does not merely present an answer. A strong SA helps an account team improve the answer together while protecting technical truth and customer trust. The handout explicitly scores visible thinking, so at least one interviewer answer should visibly change the plan.</w:t>
      </w:r>
    </w:p>
    <w:p>
      <w:pPr>
        <w:pStyle w:val="Heading2"/>
        <w:keepNext/>
        <w:keepLines/>
        <w:widowControl/>
      </w:pPr>
      <w:r>
        <w:t>What good performance signals</w:t>
      </w:r>
    </w:p>
    <w:p>
      <w:pPr>
        <w:numPr>
          <w:ilvl w:val="0"/>
          <w:numId w:val="10"/>
        </w:numPr>
        <w:keepLines/>
        <w:widowControl/>
      </w:pPr>
      <w:r>
        <w:t>You can identify the business bottleneck beneath the product-usage data.</w:t>
      </w:r>
    </w:p>
    <w:p>
      <w:pPr>
        <w:numPr>
          <w:ilvl w:val="0"/>
          <w:numId w:val="10"/>
        </w:numPr>
        <w:keepLines/>
        <w:widowControl/>
      </w:pPr>
      <w:r>
        <w:t>You can separate an enthusiastic builder from an accountable champion and an executive sponsor.</w:t>
      </w:r>
    </w:p>
    <w:p>
      <w:pPr>
        <w:numPr>
          <w:ilvl w:val="0"/>
          <w:numId w:val="10"/>
        </w:numPr>
        <w:keepLines/>
        <w:widowControl/>
      </w:pPr>
      <w:r>
        <w:t>You define measures and stop conditions before the pilot creates tempting results.</w:t>
      </w:r>
    </w:p>
    <w:p>
      <w:pPr>
        <w:numPr>
          <w:ilvl w:val="0"/>
          <w:numId w:val="10"/>
        </w:numPr>
        <w:keepLines/>
        <w:widowControl/>
      </w:pPr>
      <w:r>
        <w:t>You know where human approval, repository permissions, CI, and audit belong.</w:t>
      </w:r>
    </w:p>
    <w:p>
      <w:pPr>
        <w:numPr>
          <w:ilvl w:val="0"/>
          <w:numId w:val="10"/>
        </w:numPr>
        <w:keepLines/>
        <w:widowControl/>
      </w:pPr>
      <w:r>
        <w:t>You can say what the technical artifact proves—and what it does not prove.</w:t>
      </w:r>
    </w:p>
    <w:p>
      <w:pPr>
        <w:numPr>
          <w:ilvl w:val="0"/>
          <w:numId w:val="10"/>
        </w:numPr>
        <w:keepLines/>
        <w:widowControl/>
      </w:pPr>
      <w:r>
        <w:t>You leave behind Acme ownership rather than ongoing dependence on the SA.</w:t>
      </w:r>
    </w:p>
    <w:p>
      <w:pPr>
        <w:numPr>
          <w:ilvl w:val="0"/>
          <w:numId w:val="10"/>
        </w:numPr>
        <w:keepLines/>
        <w:widowControl/>
      </w:pPr>
      <w:r>
        <w:t>You can convert evidence into a renewal or expansion decision without inflating ROI.</w:t>
      </w:r>
    </w:p>
    <w:p>
      <w:pPr>
        <w:numPr>
          <w:ilvl w:val="0"/>
          <w:numId w:val="10"/>
        </w:numPr>
        <w:keepLines/>
        <w:widowControl/>
      </w:pPr>
      <w:r>
        <w:t>You can explain Cursor architecture, model routing, and control enforcement precisely before the live command demo.</w:t>
      </w:r>
    </w:p>
    <w:p>
      <w:pPr>
        <w:numPr>
          <w:ilvl w:val="0"/>
          <w:numId w:val="10"/>
        </w:numPr>
        <w:keepLines/>
        <w:widowControl/>
      </w:pPr>
      <w:r>
        <w:t>You can show how a human-gated pilot becomes a connected and then bounded-automation production line.</w:t>
      </w:r>
    </w:p>
    <w:p>
      <w:pPr>
        <w:pStyle w:val="Heading2"/>
        <w:keepNext/>
        <w:keepLines/>
        <w:widowControl/>
      </w:pPr>
      <w:r>
        <w:t>The likely format</w:t>
      </w:r>
    </w:p>
    <w:tbl>
      <w:tblPr>
        <w:tblStyle w:val="TableGrid"/>
        <w:tblW w:type="dxa" w:w="9360"/>
        <w:jc w:val="left"/>
        <w:tblLayout w:type="fixed"/>
        <w:tblLook w:firstColumn="1" w:firstRow="1" w:lastColumn="0" w:lastRow="0" w:noHBand="0" w:noVBand="1" w:val="04A0"/>
        <w:tblInd w:type="dxa" w:w="120"/>
      </w:tblPr>
      <w:tblGrid>
        <w:gridCol w:w="1900"/>
        <w:gridCol w:w="3900"/>
        <w:gridCol w:w="3560"/>
      </w:tblGrid>
      <w:tr>
        <w:trPr>
          <w:trHeight w:hRule="auto"/>
          <w:tblHeader w:val="true"/>
        </w:trPr>
        <w:tc>
          <w:tcPr>
            <w:tcW w:type="dxa" w:w="19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Segment</w:t>
            </w:r>
          </w:p>
        </w:tc>
        <w:tc>
          <w:tcPr>
            <w:tcW w:type="dxa" w:w="39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Your job</w:t>
            </w:r>
          </w:p>
        </w:tc>
        <w:tc>
          <w:tcPr>
            <w:tcW w:type="dxa" w:w="356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Why it matters</w:t>
            </w:r>
          </w:p>
        </w:tc>
      </w:tr>
      <w:tr>
        <w:trPr>
          <w:trHeight w:hRule="auto"/>
        </w:trPr>
        <w:tc>
          <w:tcPr>
            <w:tcW w:type="dxa" w:w="19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45-minute final working session</w:t>
            </w:r>
          </w:p>
        </w:tc>
        <w:tc>
          <w:tcPr>
            <w:tcW w:type="dxa" w:w="39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Facilitate the internal account team through thesis, pilot, evidence, ownership, and renewal.</w:t>
            </w:r>
          </w:p>
        </w:tc>
        <w:tc>
          <w:tcPr>
            <w:tcW w:type="dxa" w:w="35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Tests judgment, interaction, account leadership, and altitude.</w:t>
            </w:r>
          </w:p>
        </w:tc>
      </w:tr>
      <w:tr>
        <w:trPr>
          <w:trHeight w:hRule="auto"/>
        </w:trPr>
        <w:tc>
          <w:tcPr>
            <w:tcW w:type="dxa" w:w="19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15-minute follow-on</w:t>
            </w:r>
          </w:p>
        </w:tc>
        <w:tc>
          <w:tcPr>
            <w:tcW w:type="dxa" w:w="39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Receive wrap-up and feedback: take notes visibly, ask one clarifying question, and explain how you would adjust without rebutting.</w:t>
            </w:r>
          </w:p>
        </w:tc>
        <w:tc>
          <w:tcPr>
            <w:tcW w:type="dxa" w:w="35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The handout names this as wrap-up and feedback; how you receive coaching is still customer-facing behavior.</w:t>
            </w:r>
          </w:p>
        </w:tc>
      </w:tr>
      <w:tr>
        <w:trPr>
          <w:trHeight w:hRule="auto"/>
        </w:trPr>
        <w:tc>
          <w:tcPr>
            <w:tcW w:type="dxa" w:w="19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8–10 minute artifact proof inside the session</w:t>
            </w:r>
          </w:p>
        </w:tc>
        <w:tc>
          <w:tcPr>
            <w:tcW w:type="dxa" w:w="39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Show the engagement workflow and approval contract without repeating the technical screen.</w:t>
            </w:r>
          </w:p>
        </w:tc>
        <w:tc>
          <w:tcPr>
            <w:tcW w:type="dxa" w:w="35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Demonstrates technical credibility in service of the account plan.</w:t>
            </w:r>
          </w:p>
        </w:tc>
      </w:tr>
      <w:tr>
        <w:trPr>
          <w:trHeight w:hRule="auto"/>
        </w:trPr>
        <w:tc>
          <w:tcPr>
            <w:tcW w:type="dxa" w:w="19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Two 30-minute interviews</w:t>
            </w:r>
          </w:p>
        </w:tc>
        <w:tc>
          <w:tcPr>
            <w:tcW w:type="dxa" w:w="39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Show future-ADM partnership in one; judgment, scale, and market honesty in the senior-leader interview.</w:t>
            </w:r>
          </w:p>
        </w:tc>
        <w:tc>
          <w:tcPr>
            <w:tcW w:type="dxa" w:w="35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Tests how you operate with peers and whether your thinking scales past one account.</w:t>
            </w:r>
          </w:p>
        </w:tc>
      </w:tr>
    </w:tbl>
    <w:p>
      <w:pPr>
        <w:widowControl/>
        <w:spacing w:before="0" w:after="20"/>
      </w:pPr>
    </w:p>
    <w:p>
      <w:pPr>
        <w:pStyle w:val="Heading2"/>
        <w:keepNext/>
        <w:keepLines/>
        <w:widowControl/>
      </w:pPr>
      <w:r>
        <w:t>The mistake to avoid</w:t>
      </w:r>
    </w:p>
    <w:p>
      <w:pPr>
        <w:keepLines/>
        <w:widowControl/>
      </w:pPr>
      <w:r>
        <w:rPr>
          <w:i w:val="0"/>
        </w:rPr>
        <w:t>Do not turn the session into a polished monologue delivered at silent interviewers. A complete deck with no shared decisions can look less senior than a simpler plan that visibly improves through role-based questions and tradeoff decisions. Likewise, do not let the demo absorb the session: interruptions are proof that the role-play is working, not time you must win back.</w:t>
      </w:r>
    </w:p>
    <w:p>
      <w:pPr>
        <w:pStyle w:val="Heading1"/>
        <w:keepNext/>
        <w:keepLines/>
        <w:widowControl/>
      </w:pPr>
      <w:r>
        <w:t>2. The Acme account thesis</w:t>
      </w:r>
    </w:p>
    <w:p>
      <w:pPr>
        <w:pStyle w:val="LeadCallout"/>
        <w:shd w:fill="E8F4F2"/>
        <w:pBdr>
          <w:left w:val="single" w:sz="18" w:space="7" w:color="2E7D79"/>
        </w:pBdr>
        <w:keepLines/>
        <w:widowControl/>
      </w:pPr>
      <w:r>
        <w:rPr>
          <w:b/>
          <w:color w:val="2E7D79"/>
        </w:rPr>
        <w:t xml:space="preserve">One-sentence answer  </w:t>
      </w:r>
      <w:r>
        <w:t>Use the high-adoption 12-person team as a measured wedge: Maya Chen (Staff Engineer) co-builds a maintainable onboarding workflow, David Park (Engineering Manager) owns the operating outcome, Priya Nair (Director of Engineering) sees credible speed-and-quality evidence, and the ADM receives a repeatable renewal story instead of a one-off demo.</w:t>
      </w:r>
    </w:p>
    <w:p>
      <w:pPr>
        <w:pStyle w:val="Heading2"/>
        <w:keepNext/>
        <w:keepLines/>
        <w:widowControl/>
      </w:pPr>
      <w:r>
        <w:t>Diagnosis: standardization and proof, not primarily seats</w:t>
      </w:r>
    </w:p>
    <w:p>
      <w:pPr>
        <w:keepLines/>
        <w:widowControl/>
      </w:pPr>
      <w:r>
        <w:rPr>
          <w:i w:val="0"/>
        </w:rPr>
        <w:t>Acme already has grassroots Cursor pull. The strongest team uses Tab, Agent, and ad-hoc chat, but it lacks a durable workflow standard. Leadership sees overlapping tools and duplicated spend. The renewal is roughly 90 days away, there is no executive champion, and two earlier team pilots stalled.</w:t>
      </w:r>
    </w:p>
    <w:p>
      <w:pPr>
        <w:keepLines/>
        <w:widowControl/>
      </w:pPr>
      <w:r>
        <w:rPr>
          <w:i w:val="0"/>
        </w:rPr>
        <w:t>Why this diagnosis matters: if you treat the problem as seat activation, you optimize an activity number Finance does not trust. If you treat it as standardization and proof, you can connect product use to a business outcome and an executive decision.</w:t>
      </w:r>
    </w:p>
    <w:p>
      <w:pPr>
        <w:pStyle w:val="Heading2"/>
        <w:keepNext/>
        <w:keepLines/>
        <w:widowControl/>
      </w:pPr>
      <w:r>
        <w:t>The renewal thesis</w:t>
      </w:r>
    </w:p>
    <w:p>
      <w:pPr>
        <w:keepLines/>
        <w:widowControl/>
      </w:pPr>
      <w:r>
        <w:rPr>
          <w:i w:val="0"/>
        </w:rPr>
        <w:t>Cursor is valuable to Acme if a governed, team-owned workflow materially moves the new-hire ramp curve without increasing rework, and if Acme can reproduce that result beyond one expert user.</w:t>
      </w:r>
    </w:p>
    <w:p>
      <w:pPr>
        <w:pStyle w:val="Heading2"/>
        <w:keepNext/>
        <w:keepLines/>
        <w:widowControl/>
      </w:pPr>
      <w:r>
        <w:t>Why the 12-person team is the right wedge</w:t>
      </w:r>
    </w:p>
    <w:p>
      <w:pPr>
        <w:numPr>
          <w:ilvl w:val="0"/>
          <w:numId w:val="10"/>
        </w:numPr>
        <w:keepLines/>
        <w:widowControl/>
      </w:pPr>
      <w:r>
        <w:t>It already uses Cursor heavily, so the pilot tests workflow improvement rather than basic adoption.</w:t>
      </w:r>
    </w:p>
    <w:p>
      <w:pPr>
        <w:numPr>
          <w:ilvl w:val="0"/>
          <w:numId w:val="10"/>
        </w:numPr>
        <w:keepLines/>
        <w:widowControl/>
      </w:pPr>
      <w:r>
        <w:t>It has an explicit six-week onboarding bottleneck, which is important, measurable, and executive-relevant.</w:t>
      </w:r>
    </w:p>
    <w:p>
      <w:pPr>
        <w:numPr>
          <w:ilvl w:val="0"/>
          <w:numId w:val="10"/>
        </w:numPr>
        <w:keepLines/>
        <w:widowControl/>
      </w:pPr>
      <w:r>
        <w:t>Existing usage lowers implementation friction, making it possible to learn inside the renewal window.</w:t>
      </w:r>
    </w:p>
    <w:p>
      <w:pPr>
        <w:numPr>
          <w:ilvl w:val="0"/>
          <w:numId w:val="10"/>
        </w:numPr>
        <w:keepLines/>
        <w:widowControl/>
      </w:pPr>
      <w:r>
        <w:t>One second-team reproduction can later test whether the result is a portable operating pattern rather than a hero-user effect.</w:t>
      </w:r>
    </w:p>
    <w:p>
      <w:pPr>
        <w:keepLines/>
        <w:widowControl/>
      </w:pPr>
      <w:r>
        <w:rPr>
          <w:i w:val="0"/>
        </w:rPr>
        <w:t>Why not start with a stalled team? You first need to prove that the proposed workflow works under favorable but real conditions. Starting in the hardest environment confounds product, process, access, leadership, and adoption problems at once.</w:t>
      </w:r>
    </w:p>
    <w:p>
      <w:pPr>
        <w:pStyle w:val="Heading2"/>
        <w:keepNext/>
        <w:keepLines/>
        <w:widowControl/>
      </w:pPr>
      <w:r>
        <w:t>The three decisions you must lead with</w:t>
      </w:r>
    </w:p>
    <w:tbl>
      <w:tblPr>
        <w:tblStyle w:val="TableGrid"/>
        <w:tblW w:type="dxa" w:w="9360"/>
        <w:jc w:val="left"/>
        <w:tblLayout w:type="fixed"/>
        <w:tblLook w:firstColumn="1" w:firstRow="1" w:lastColumn="0" w:lastRow="0" w:noHBand="0" w:noVBand="1" w:val="04A0"/>
        <w:tblInd w:type="dxa" w:w="120"/>
      </w:tblPr>
      <w:tblGrid>
        <w:gridCol w:w="1900"/>
        <w:gridCol w:w="3160"/>
        <w:gridCol w:w="4300"/>
      </w:tblGrid>
      <w:tr>
        <w:trPr>
          <w:trHeight w:hRule="auto"/>
          <w:tblHeader w:val="true"/>
        </w:trPr>
        <w:tc>
          <w:tcPr>
            <w:tcW w:type="dxa" w:w="19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Decision</w:t>
            </w:r>
          </w:p>
        </w:tc>
        <w:tc>
          <w:tcPr>
            <w:tcW w:type="dxa" w:w="316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Choice</w:t>
            </w:r>
          </w:p>
        </w:tc>
        <w:tc>
          <w:tcPr>
            <w:tcW w:type="dxa" w:w="43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Why</w:t>
            </w:r>
          </w:p>
        </w:tc>
      </w:tr>
      <w:tr>
        <w:trPr>
          <w:trHeight w:hRule="auto"/>
        </w:trPr>
        <w:tc>
          <w:tcPr>
            <w:tcW w:type="dxa" w:w="19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Accountable champion</w:t>
            </w:r>
          </w:p>
        </w:tc>
        <w:tc>
          <w:tcPr>
            <w:tcW w:type="dxa" w:w="31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David Park (Engineering Manager)</w:t>
            </w:r>
          </w:p>
        </w:tc>
        <w:tc>
          <w:tcPr>
            <w:tcW w:type="dxa" w:w="43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Owns the six-week ramp problem, the team objective, and organizational follow-through.</w:t>
            </w:r>
          </w:p>
        </w:tc>
      </w:tr>
      <w:tr>
        <w:trPr>
          <w:trHeight w:hRule="auto"/>
        </w:trPr>
        <w:tc>
          <w:tcPr>
            <w:tcW w:type="dxa" w:w="19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Primary metrics</w:t>
            </w:r>
          </w:p>
        </w:tc>
        <w:tc>
          <w:tcPr>
            <w:tcW w:type="dxa" w:w="31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Time to first meaningful PR; ramp PR rework; design-to-deploy cycle time</w:t>
            </w:r>
          </w:p>
        </w:tc>
        <w:tc>
          <w:tcPr>
            <w:tcW w:type="dxa" w:w="43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Together they prove speed, quality, and reach across the delivery system.</w:t>
            </w:r>
          </w:p>
        </w:tc>
      </w:tr>
      <w:tr>
        <w:trPr>
          <w:trHeight w:hRule="auto"/>
        </w:trPr>
        <w:tc>
          <w:tcPr>
            <w:tcW w:type="dxa" w:w="19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Pilot target</w:t>
            </w:r>
          </w:p>
        </w:tc>
        <w:tc>
          <w:tcPr>
            <w:tcW w:type="dxa" w:w="31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Move roughly 42 days toward 14, with no material increase in rework</w:t>
            </w:r>
          </w:p>
        </w:tc>
        <w:tc>
          <w:tcPr>
            <w:tcW w:type="dxa" w:w="43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8"/>
              </w:rPr>
              <w:t>“3×” is a hypothesis to test. Speed only counts if quality holds.</w:t>
            </w:r>
          </w:p>
        </w:tc>
      </w:tr>
    </w:tbl>
    <w:p>
      <w:pPr>
        <w:widowControl/>
        <w:spacing w:before="0" w:after="20"/>
      </w:pPr>
    </w:p>
    <w:p>
      <w:pPr>
        <w:pStyle w:val="Heading2"/>
        <w:keepNext/>
        <w:keepLines/>
        <w:widowControl/>
      </w:pPr>
      <w:r>
        <w:t>Five assumptions to expose early</w:t>
      </w:r>
    </w:p>
    <w:p>
      <w:pPr>
        <w:numPr>
          <w:ilvl w:val="0"/>
          <w:numId w:val="11"/>
        </w:numPr>
        <w:keepLines/>
        <w:widowControl/>
      </w:pPr>
      <w:r>
        <w:t>Acme can provide a three-to-five-person cohort within 30 days. Prefer actual new joiners; otherwise use engineers unfamiliar with the module and label them as a proxy.</w:t>
      </w:r>
    </w:p>
    <w:p>
      <w:pPr>
        <w:numPr>
          <w:ilvl w:val="0"/>
          <w:numId w:val="11"/>
        </w:numPr>
        <w:keepLines/>
        <w:widowControl/>
      </w:pPr>
      <w:r>
        <w:t>David Park (Engineering Manager) can define “meaningful PR” before the pilot.</w:t>
      </w:r>
    </w:p>
    <w:p>
      <w:pPr>
        <w:numPr>
          <w:ilvl w:val="0"/>
          <w:numId w:val="11"/>
        </w:numPr>
        <w:keepLines/>
        <w:widowControl/>
      </w:pPr>
      <w:r>
        <w:t>Acme can provide six months of issue, PR, review, and CI timestamps for a comparable baseline.</w:t>
      </w:r>
    </w:p>
    <w:p>
      <w:pPr>
        <w:numPr>
          <w:ilvl w:val="0"/>
          <w:numId w:val="11"/>
        </w:numPr>
        <w:keepLines/>
        <w:widowControl/>
      </w:pPr>
      <w:r>
        <w:t>Security permits a repository-local prototype. MCP and cloud agents remain optional, later steps.</w:t>
      </w:r>
    </w:p>
    <w:p>
      <w:pPr>
        <w:numPr>
          <w:ilvl w:val="0"/>
          <w:numId w:val="11"/>
        </w:numPr>
        <w:keepLines/>
        <w:widowControl/>
      </w:pPr>
      <w:r>
        <w:t>The engagement optimizes the workflow first; it does not mandate one model or automate every contribution.</w:t>
      </w:r>
    </w:p>
    <w:p>
      <w:pPr>
        <w:keepLines/>
        <w:widowControl/>
      </w:pPr>
      <w:r>
        <w:rPr>
          <w:i w:val="0"/>
        </w:rPr>
        <w:t>Why state assumptions: hidden assumptions become political surprises. Visible assumptions give the account team something concrete to correct and demonstrate that you know the boundary between a plan and established customer fact.</w:t>
      </w:r>
    </w:p>
    <w:p>
      <w:pPr>
        <w:pStyle w:val="Heading1"/>
        <w:keepNext/>
        <w:keepLines/>
        <w:widowControl/>
      </w:pPr>
      <w:r>
        <w:t>3. The stakeholder and champion system</w:t>
      </w:r>
    </w:p>
    <w:p>
      <w:pPr>
        <w:pStyle w:val="LeadCallout"/>
        <w:shd w:fill="E8F1F7"/>
        <w:pBdr>
          <w:left w:val="single" w:sz="18" w:space="7" w:color="2E74B5"/>
        </w:pBdr>
        <w:keepLines/>
        <w:widowControl/>
      </w:pPr>
      <w:r>
        <w:rPr>
          <w:b/>
          <w:color w:val="2E74B5"/>
        </w:rPr>
        <w:t xml:space="preserve">Champion ladder  </w:t>
      </w:r>
      <w:r>
        <w:t>Maya Chen (Staff Engineer) builds it. David Park (Engineering Manager) owns it. Priya Nair (Director of Engineering) decides whether it matters at executive and renewal altitude.</w:t>
      </w:r>
    </w:p>
    <w:p>
      <w:pPr>
        <w:pStyle w:val="Heading2"/>
        <w:keepNext/>
        <w:keepLines/>
        <w:widowControl/>
      </w:pPr>
      <w:r>
        <w:t>Who owns what—and why</w:t>
      </w:r>
    </w:p>
    <w:tbl>
      <w:tblPr>
        <w:tblStyle w:val="TableGrid"/>
        <w:tblW w:type="dxa" w:w="9360"/>
        <w:jc w:val="left"/>
        <w:tblLayout w:type="fixed"/>
        <w:tblLook w:firstColumn="1" w:firstRow="1" w:lastColumn="0" w:lastRow="0" w:noHBand="0" w:noVBand="1" w:val="04A0"/>
        <w:tblInd w:type="dxa" w:w="120"/>
      </w:tblPr>
      <w:tblGrid>
        <w:gridCol w:w="2300"/>
        <w:gridCol w:w="1800"/>
        <w:gridCol w:w="3260"/>
        <w:gridCol w:w="2000"/>
      </w:tblGrid>
      <w:tr>
        <w:trPr>
          <w:trHeight w:hRule="auto"/>
          <w:tblHeader w:val="true"/>
        </w:trPr>
        <w:tc>
          <w:tcPr>
            <w:tcW w:type="dxa" w:w="23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Person</w:t>
            </w:r>
          </w:p>
        </w:tc>
        <w:tc>
          <w:tcPr>
            <w:tcW w:type="dxa" w:w="18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Role in the pilot</w:t>
            </w:r>
          </w:p>
        </w:tc>
        <w:tc>
          <w:tcPr>
            <w:tcW w:type="dxa" w:w="326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Why this ownership is essential</w:t>
            </w:r>
          </w:p>
        </w:tc>
        <w:tc>
          <w:tcPr>
            <w:tcW w:type="dxa" w:w="20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Success test</w:t>
            </w:r>
          </w:p>
        </w:tc>
      </w:tr>
      <w:tr>
        <w:trPr>
          <w:trHeight w:hRule="auto"/>
        </w:trPr>
        <w:tc>
          <w:tcPr>
            <w:tcW w:type="dxa" w:w="23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David Park (Engineering Manager)</w:t>
            </w:r>
          </w:p>
        </w:tc>
        <w:tc>
          <w:tcPr>
            <w:tcW w:type="dxa" w:w="18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Accountable champion</w:t>
            </w:r>
          </w:p>
        </w:tc>
        <w:tc>
          <w:tcPr>
            <w:tcW w:type="dxa" w:w="32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Owns the team problem, charter, outcome definition, baseline acceptance, and executive path.</w:t>
            </w:r>
          </w:p>
        </w:tc>
        <w:tc>
          <w:tcPr>
            <w:tcW w:type="dxa" w:w="20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Can defend the result and the agreed decision standard without Cursor in the room.</w:t>
            </w:r>
          </w:p>
        </w:tc>
      </w:tr>
      <w:tr>
        <w:trPr>
          <w:trHeight w:hRule="auto"/>
        </w:trPr>
        <w:tc>
          <w:tcPr>
            <w:tcW w:type="dxa" w:w="23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Maya Chen (Staff Engineer)</w:t>
            </w:r>
          </w:p>
        </w:tc>
        <w:tc>
          <w:tcPr>
            <w:tcW w:type="dxa" w:w="18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Technical builder-champion</w:t>
            </w:r>
          </w:p>
        </w:tc>
        <w:tc>
          <w:tcPr>
            <w:tcW w:type="dxa" w:w="32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Owns the repository rules, commands, model-pin registry, and monthly drift maintenance.</w:t>
            </w:r>
          </w:p>
        </w:tc>
        <w:tc>
          <w:tcPr>
            <w:tcW w:type="dxa" w:w="20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Makes the first post-handoff workflow or model-policy change.</w:t>
            </w:r>
          </w:p>
        </w:tc>
      </w:tr>
      <w:tr>
        <w:trPr>
          <w:trHeight w:hRule="auto"/>
        </w:trPr>
        <w:tc>
          <w:tcPr>
            <w:tcW w:type="dxa" w:w="23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Priya Nair (Director of Engineering)</w:t>
            </w:r>
          </w:p>
        </w:tc>
        <w:tc>
          <w:tcPr>
            <w:tcW w:type="dxa" w:w="18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Executive sponsor target</w:t>
            </w:r>
          </w:p>
        </w:tc>
        <w:tc>
          <w:tcPr>
            <w:tcW w:type="dxa" w:w="32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Sets the evidence threshold and can authorize a second-team adoption decision.</w:t>
            </w:r>
          </w:p>
        </w:tc>
        <w:tc>
          <w:tcPr>
            <w:tcW w:type="dxa" w:w="20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Repeats the ramp-and-quality story at renewal.</w:t>
            </w:r>
          </w:p>
        </w:tc>
      </w:tr>
      <w:tr>
        <w:trPr>
          <w:trHeight w:hRule="auto"/>
        </w:trPr>
        <w:tc>
          <w:tcPr>
            <w:tcW w:type="dxa" w:w="23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Nina Alvarez (QA / Test Lead)</w:t>
            </w:r>
          </w:p>
        </w:tc>
        <w:tc>
          <w:tcPr>
            <w:tcW w:type="dxa" w:w="18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Independent quality owner</w:t>
            </w:r>
          </w:p>
        </w:tc>
        <w:tc>
          <w:tcPr>
            <w:tcW w:type="dxa" w:w="32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Owns the rework taxonomy, review acceptance criteria, and future Bugbot policy.</w:t>
            </w:r>
          </w:p>
        </w:tc>
        <w:tc>
          <w:tcPr>
            <w:tcW w:type="dxa" w:w="20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Changes a review criterion and confirms faster ramp did not weaken quality.</w:t>
            </w:r>
          </w:p>
        </w:tc>
      </w:tr>
      <w:tr>
        <w:trPr>
          <w:trHeight w:hRule="auto"/>
        </w:trPr>
        <w:tc>
          <w:tcPr>
            <w:tcW w:type="dxa" w:w="23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Marcus Webb (DevOps / Platform Owner)</w:t>
            </w:r>
          </w:p>
        </w:tc>
        <w:tc>
          <w:tcPr>
            <w:tcW w:type="dxa" w:w="18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CI, permission, and deployment control owner</w:t>
            </w:r>
          </w:p>
        </w:tc>
        <w:tc>
          <w:tcPr>
            <w:tcW w:type="dxa" w:w="32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Owns CI policy, environment boundaries, and approval of MCP, hooks, or automation.</w:t>
            </w:r>
          </w:p>
        </w:tc>
        <w:tc>
          <w:tcPr>
            <w:tcW w:type="dxa" w:w="20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Changes a boundary or gate and confirms deployment evidence is valid.</w:t>
            </w:r>
          </w:p>
        </w:tc>
      </w:tr>
      <w:tr>
        <w:trPr>
          <w:trHeight w:hRule="auto"/>
        </w:trPr>
        <w:tc>
          <w:tcPr>
            <w:tcW w:type="dxa" w:w="23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Ravi Shah (Product Manager)</w:t>
            </w:r>
          </w:p>
        </w:tc>
        <w:tc>
          <w:tcPr>
            <w:tcW w:type="dxa" w:w="18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Roadmap and task owner</w:t>
            </w:r>
          </w:p>
        </w:tc>
        <w:tc>
          <w:tcPr>
            <w:tcW w:type="dxa" w:w="32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Co-maintains the task rubric and /scope-issue input contract, protecting against cherry-picking.</w:t>
            </w:r>
          </w:p>
        </w:tc>
        <w:tc>
          <w:tcPr>
            <w:tcW w:type="dxa" w:w="20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Changes the rubric and confirms tasks carry genuine roadmap value.</w:t>
            </w:r>
          </w:p>
        </w:tc>
      </w:tr>
    </w:tbl>
    <w:p>
      <w:pPr>
        <w:widowControl/>
        <w:spacing w:before="0" w:after="20"/>
      </w:pPr>
    </w:p>
    <w:p>
      <w:pPr>
        <w:pStyle w:val="Heading2"/>
        <w:keepNext/>
        <w:keepLines/>
        <w:widowControl/>
      </w:pPr>
      <w:r>
        <w:t>The operating loop</w:t>
      </w:r>
    </w:p>
    <w:p>
      <w:pPr>
        <w:pStyle w:val="CommandBlock"/>
        <w:shd w:fill="F2F4F7"/>
        <w:pBdr>
          <w:left w:val="single" w:sz="10" w:space="6" w:color="5E6B75"/>
        </w:pBdr>
        <w:keepLines/>
        <w:widowControl/>
      </w:pPr>
      <w:r>
        <w:t>Ravi Shah (Product Manager): bounded roadmap outcome</w:t>
        <w:br/>
        <w:t xml:space="preserve">              ↓</w:t>
        <w:br/>
        <w:t>new joiner → grounded plan → HUMAN APPROVAL → build</w:t>
        <w:br/>
        <w:t xml:space="preserve">      ↑                 Maya Chen (Staff Engineer): co-builds workflow</w:t>
        <w:br/>
        <w:t xml:space="preserve">      └──────── review by Nina Alvarez (QA / Test Lead) → CI/deploy controlled by Marcus Webb (DevOps / Platform Owner)</w:t>
        <w:br/>
        <w:t xml:space="preserve">                             ↓</w:t>
        <w:br/>
        <w:t xml:space="preserve">                    David Park (Engineering Manager): owns outcome</w:t>
        <w:br/>
        <w:t xml:space="preserve">                             ↓</w:t>
        <w:br/>
        <w:t xml:space="preserve">                    Priya Nair (Director of Engineering): scale decision</w:t>
      </w:r>
    </w:p>
    <w:p>
      <w:pPr>
        <w:keepLines/>
        <w:widowControl/>
      </w:pPr>
      <w:r>
        <w:rPr>
          <w:i w:val="0"/>
        </w:rPr>
        <w:t>Why this map matters: the repository artifact is not the solution by itself. The solution is an operating loop with named decision owners, owned artifacts, and evidence at each handoff. The handout asks people across PM, QA, and DevOps—not only engineers—to become builders.</w:t>
      </w:r>
    </w:p>
    <w:p>
      <w:pPr>
        <w:pStyle w:val="Heading2"/>
        <w:keepNext/>
        <w:keepLines/>
        <w:widowControl/>
      </w:pPr>
      <w:r>
        <w:t>Champion risks and countermeasures</w:t>
      </w:r>
    </w:p>
    <w:p>
      <w:pPr>
        <w:numPr>
          <w:ilvl w:val="0"/>
          <w:numId w:val="10"/>
        </w:numPr>
        <w:keepLines/>
        <w:widowControl/>
      </w:pPr>
      <w:r>
        <w:t>If Maya Chen (Staff Engineer) is pulled away, David Park (Engineering Manager) must ratify maintenance as a team goal, not a side project.</w:t>
      </w:r>
    </w:p>
    <w:p>
      <w:pPr>
        <w:numPr>
          <w:ilvl w:val="0"/>
          <w:numId w:val="10"/>
        </w:numPr>
        <w:keepLines/>
        <w:widowControl/>
      </w:pPr>
      <w:r>
        <w:t>If David Park (Engineering Manager) stays lukewarm, lead with the ramp metric he already owns—not product enthusiasm.</w:t>
      </w:r>
    </w:p>
    <w:p>
      <w:pPr>
        <w:numPr>
          <w:ilvl w:val="0"/>
          <w:numId w:val="10"/>
        </w:numPr>
        <w:keepLines/>
        <w:widowControl/>
      </w:pPr>
      <w:r>
        <w:t>If another initiative may answer Priya Nair (Director of Engineering)’s staff-meeting question first, land the historical baseline in week 1 and schedule the midpoint checkpoint now.</w:t>
      </w:r>
    </w:p>
    <w:p>
      <w:pPr>
        <w:pStyle w:val="Heading2"/>
        <w:keepNext/>
        <w:keepLines/>
        <w:widowControl/>
      </w:pPr>
      <w:r>
        <w:t>Why the dual-champion model is non-negotiable</w:t>
      </w:r>
    </w:p>
    <w:p>
      <w:pPr>
        <w:keepLines/>
        <w:widowControl/>
      </w:pPr>
      <w:r>
        <w:rPr>
          <w:i w:val="0"/>
        </w:rPr>
        <w:t>Making Maya Chen (Staff Engineer) the only champion creates technical enthusiasm without organizational authority. Making David Park (Engineering Manager) the only champion creates authority without builder trust. The pair makes adoption maintainable and the renewal story politically credible.</w:t>
      </w:r>
    </w:p>
    <w:p>
      <w:pPr>
        <w:pStyle w:val="Heading1"/>
        <w:keepNext/>
        <w:keepLines/>
        <w:widowControl/>
      </w:pPr>
      <w:r>
        <w:t>4. The evidence contract</w:t>
      </w:r>
    </w:p>
    <w:p>
      <w:pPr>
        <w:pStyle w:val="LeadCallout"/>
        <w:shd w:fill="E8F1F7"/>
        <w:pBdr>
          <w:left w:val="single" w:sz="18" w:space="7" w:color="2E74B5"/>
        </w:pBdr>
        <w:keepLines/>
        <w:widowControl/>
      </w:pPr>
      <w:r>
        <w:rPr>
          <w:b/>
          <w:color w:val="2E74B5"/>
        </w:rPr>
        <w:t xml:space="preserve">Evidence rule  </w:t>
      </w:r>
      <w:r>
        <w:t>Define the cohort, task rubric, metric formulas, quality threshold, and evidence labels before you inspect pilot results. This makes inconvenient outcomes harder to reinterpret later.</w:t>
      </w:r>
    </w:p>
    <w:p>
      <w:pPr>
        <w:pStyle w:val="Heading2"/>
        <w:keepNext/>
        <w:keepLines/>
        <w:widowControl/>
      </w:pPr>
      <w:r>
        <w:t>The three primary measures</w:t>
      </w:r>
    </w:p>
    <w:tbl>
      <w:tblPr>
        <w:tblStyle w:val="TableGrid"/>
        <w:tblW w:type="dxa" w:w="9360"/>
        <w:jc w:val="left"/>
        <w:tblLayout w:type="fixed"/>
        <w:tblLook w:firstColumn="1" w:firstRow="1" w:lastColumn="0" w:lastRow="0" w:noHBand="0" w:noVBand="1" w:val="04A0"/>
        <w:tblInd w:type="dxa" w:w="120"/>
      </w:tblPr>
      <w:tblGrid>
        <w:gridCol w:w="2350"/>
        <w:gridCol w:w="3100"/>
        <w:gridCol w:w="2150"/>
        <w:gridCol w:w="1760"/>
      </w:tblGrid>
      <w:tr>
        <w:trPr>
          <w:trHeight w:hRule="auto"/>
          <w:tblHeader w:val="true"/>
        </w:trPr>
        <w:tc>
          <w:tcPr>
            <w:tcW w:type="dxa" w:w="235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Measure</w:t>
            </w:r>
          </w:p>
        </w:tc>
        <w:tc>
          <w:tcPr>
            <w:tcW w:type="dxa" w:w="31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Definition</w:t>
            </w:r>
          </w:p>
        </w:tc>
        <w:tc>
          <w:tcPr>
            <w:tcW w:type="dxa" w:w="215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Owner / source</w:t>
            </w:r>
          </w:p>
        </w:tc>
        <w:tc>
          <w:tcPr>
            <w:tcW w:type="dxa" w:w="176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Decision it supports</w:t>
            </w:r>
          </w:p>
        </w:tc>
      </w:tr>
      <w:tr>
        <w:trPr>
          <w:trHeight w:hRule="auto"/>
        </w:trPr>
        <w:tc>
          <w:tcPr>
            <w:tcW w:type="dxa" w:w="23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Time to first meaningful PR</w:t>
            </w:r>
          </w:p>
        </w:tc>
        <w:tc>
          <w:tcPr>
            <w:tcW w:type="dxa" w:w="3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Fixed start date to first qualifying PR approved or merged; report every observation and cohort median.</w:t>
            </w:r>
          </w:p>
        </w:tc>
        <w:tc>
          <w:tcPr>
            <w:tcW w:type="dxa" w:w="21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David Park (Engineering Manager); HR/start data + Git/PR events</w:t>
            </w:r>
          </w:p>
        </w:tc>
        <w:tc>
          <w:tcPr>
            <w:tcW w:type="dxa" w:w="17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Did ramp materially improve?</w:t>
            </w:r>
          </w:p>
        </w:tc>
      </w:tr>
      <w:tr>
        <w:trPr>
          <w:trHeight w:hRule="auto"/>
        </w:trPr>
        <w:tc>
          <w:tcPr>
            <w:tcW w:type="dxa" w:w="23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Ramp PR rework rate</w:t>
            </w:r>
          </w:p>
        </w:tc>
        <w:tc>
          <w:tcPr>
            <w:tcW w:type="dxa" w:w="3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Material review cycles or PRs rejected for correctness, testing, conventions, or CI during the ramp window.</w:t>
            </w:r>
          </w:p>
        </w:tc>
        <w:tc>
          <w:tcPr>
            <w:tcW w:type="dxa" w:w="21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Nina Alvarez (QA / Test Lead); review taxonomy + PR events</w:t>
            </w:r>
          </w:p>
        </w:tc>
        <w:tc>
          <w:tcPr>
            <w:tcW w:type="dxa" w:w="17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Did speed preserve quality?</w:t>
            </w:r>
          </w:p>
        </w:tc>
      </w:tr>
      <w:tr>
        <w:trPr>
          <w:trHeight w:hRule="auto"/>
        </w:trPr>
        <w:tc>
          <w:tcPr>
            <w:tcW w:type="dxa" w:w="23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Design-to-deploy cycle time</w:t>
            </w:r>
          </w:p>
        </w:tc>
        <w:tc>
          <w:tcPr>
            <w:tcW w:type="dxa" w:w="3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Scoped task accepted through production deployment or the closest auditable production-ready gate.</w:t>
            </w:r>
          </w:p>
        </w:tc>
        <w:tc>
          <w:tcPr>
            <w:tcW w:type="dxa" w:w="21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Ravi Shah (Product Manager) and Marcus Webb (DevOps / Platform Owner); issue + PR + CI/CD</w:t>
            </w:r>
          </w:p>
        </w:tc>
        <w:tc>
          <w:tcPr>
            <w:tcW w:type="dxa" w:w="17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Did the workflow improve delivery beyond code generation?</w:t>
            </w:r>
          </w:p>
        </w:tc>
      </w:tr>
    </w:tbl>
    <w:p>
      <w:pPr>
        <w:widowControl/>
        <w:spacing w:before="0" w:after="20"/>
      </w:pPr>
    </w:p>
    <w:p>
      <w:pPr>
        <w:pStyle w:val="Heading2"/>
        <w:keepNext/>
        <w:keepLines/>
        <w:widowControl/>
      </w:pPr>
      <w:r>
        <w:t>Define “meaningful PR” before the pilot</w:t>
      </w:r>
    </w:p>
    <w:p>
      <w:pPr>
        <w:keepLines/>
        <w:widowControl/>
      </w:pPr>
      <w:r>
        <w:rPr>
          <w:i w:val="0"/>
        </w:rPr>
        <w:t>David Park (Engineering Manager) must own the final definition. Recommend: a non-trivial production or library change accepted by a maintainer, through required CI, and merged or approved for merge. Exclude typo-only, generated, and training-only changes.</w:t>
      </w:r>
    </w:p>
    <w:p>
      <w:pPr>
        <w:keepLines/>
        <w:widowControl/>
      </w:pPr>
      <w:r>
        <w:rPr>
          <w:i w:val="0"/>
        </w:rPr>
        <w:t>Why: if you define “meaningful” after seeing the data, you can unconsciously choose a definition that flatters the result. A fixed definition protects both the customer and Cursor.</w:t>
      </w:r>
    </w:p>
    <w:p>
      <w:pPr>
        <w:pStyle w:val="Heading2"/>
        <w:keepNext/>
        <w:keepLines/>
        <w:widowControl/>
      </w:pPr>
      <w:r>
        <w:t>Quality is a hard guardrail</w:t>
      </w:r>
    </w:p>
    <w:p>
      <w:pPr>
        <w:keepLines/>
        <w:widowControl/>
      </w:pPr>
      <w:r>
        <w:rPr>
          <w:i w:val="0"/>
        </w:rPr>
        <w:t>Nina Alvarez (QA / Test Lead) defines the material-rework taxonomy. A faster first PR does not count as a win if major rework, defects, bypassed gates, or reviewer burden rises materially.</w:t>
      </w:r>
    </w:p>
    <w:p>
      <w:pPr>
        <w:keepLines/>
        <w:widowControl/>
      </w:pPr>
      <w:r>
        <w:rPr>
          <w:i w:val="0"/>
        </w:rPr>
        <w:t>Why: onboarding speed without quality is borrowed time. It moves work downstream to reviewers, QA, or production and creates an outcome Finance and engineering leadership should reject.</w:t>
      </w:r>
    </w:p>
    <w:p>
      <w:pPr>
        <w:pStyle w:val="Heading2"/>
        <w:keepNext/>
        <w:keepLines/>
        <w:widowControl/>
      </w:pPr>
      <w:r>
        <w:t>Use four evidence labels</w:t>
      </w:r>
    </w:p>
    <w:p>
      <w:pPr>
        <w:numPr>
          <w:ilvl w:val="0"/>
          <w:numId w:val="10"/>
        </w:numPr>
        <w:keepLines/>
        <w:widowControl/>
      </w:pPr>
      <w:r>
        <w:rPr>
          <w:b/>
        </w:rPr>
        <w:t>Observed:</w:t>
      </w:r>
      <w:r>
        <w:t xml:space="preserve"> measured directly during the real pilot under the agreed definitions.</w:t>
      </w:r>
    </w:p>
    <w:p>
      <w:pPr>
        <w:numPr>
          <w:ilvl w:val="0"/>
          <w:numId w:val="10"/>
        </w:numPr>
        <w:keepLines/>
        <w:widowControl/>
      </w:pPr>
      <w:r>
        <w:rPr>
          <w:b/>
        </w:rPr>
        <w:t>Historical baseline:</w:t>
      </w:r>
      <w:r>
        <w:t xml:space="preserve"> measured from prior comparable Acme data.</w:t>
      </w:r>
    </w:p>
    <w:p>
      <w:pPr>
        <w:numPr>
          <w:ilvl w:val="0"/>
          <w:numId w:val="10"/>
        </w:numPr>
        <w:keepLines/>
        <w:widowControl/>
      </w:pPr>
      <w:r>
        <w:rPr>
          <w:b/>
        </w:rPr>
        <w:t>Proxy:</w:t>
      </w:r>
      <w:r>
        <w:t xml:space="preserve"> produced by cold-module engineers or another substitute cohort; useful but not equivalent to new-hire impact.</w:t>
      </w:r>
    </w:p>
    <w:p>
      <w:pPr>
        <w:numPr>
          <w:ilvl w:val="0"/>
          <w:numId w:val="10"/>
        </w:numPr>
        <w:keepLines/>
        <w:widowControl/>
      </w:pPr>
      <w:r>
        <w:rPr>
          <w:b/>
        </w:rPr>
        <w:t>Hypothesis:</w:t>
      </w:r>
      <w:r>
        <w:t xml:space="preserve"> a target, assumption, projected capacity value, or expected mechanism not yet verified.</w:t>
      </w:r>
    </w:p>
    <w:p>
      <w:pPr>
        <w:keepLines/>
        <w:widowControl/>
      </w:pPr>
      <w:r>
        <w:rPr>
          <w:i w:val="0"/>
        </w:rPr>
        <w:t>Why: the label tells the audience how much weight a claim can carry. Honest uncertainty increases credibility because it shows you are controlling the renewal pressure rather than being controlled by it.</w:t>
      </w:r>
    </w:p>
    <w:p>
      <w:pPr>
        <w:pStyle w:val="Heading2"/>
        <w:keepNext/>
        <w:keepLines/>
        <w:widowControl/>
      </w:pPr>
      <w:r>
        <w:t>How to handle a small cohort</w:t>
      </w:r>
    </w:p>
    <w:p>
      <w:pPr>
        <w:keepLines/>
        <w:widowControl/>
      </w:pPr>
      <w:r>
        <w:rPr>
          <w:i w:val="0"/>
        </w:rPr>
        <w:t>Show every observation, the median, the range, sample size, and baseline-matching method. Pair the numbers with before/after artifacts: issue, plan, PR, review finding, CI trace, deployment record, and stakeholder statements. Use the pilot for a bounded second-team decision—not an organization-wide causal claim.</w:t>
      </w:r>
    </w:p>
    <w:p>
      <w:pPr>
        <w:pStyle w:val="Heading2"/>
        <w:keepNext/>
        <w:keepLines/>
        <w:widowControl/>
      </w:pPr>
      <w:r>
        <w:t>Supporting evidence—not substitutes for outcomes</w:t>
      </w:r>
    </w:p>
    <w:p>
      <w:pPr>
        <w:numPr>
          <w:ilvl w:val="0"/>
          <w:numId w:val="10"/>
        </w:numPr>
        <w:keepLines/>
        <w:widowControl/>
      </w:pPr>
      <w:r>
        <w:t>Weekly active seats segmented by team and role: useful for reach and expansion health, not proof of productivity.</w:t>
      </w:r>
    </w:p>
    <w:p>
      <w:pPr>
        <w:numPr>
          <w:ilvl w:val="0"/>
          <w:numId w:val="10"/>
        </w:numPr>
        <w:keepLines/>
        <w:widowControl/>
      </w:pPr>
      <w:r>
        <w:t>Senior-engineer interrupt volume: useful if Acme already collects it credibly; otherwise too noisy for a primary metric.</w:t>
      </w:r>
    </w:p>
    <w:p>
      <w:pPr>
        <w:numPr>
          <w:ilvl w:val="0"/>
          <w:numId w:val="10"/>
        </w:numPr>
        <w:keepLines/>
        <w:widowControl/>
      </w:pPr>
      <w:r>
        <w:t>Champion and practitioner quotes: useful context, but never a replacement for measured behavior.</w:t>
      </w:r>
    </w:p>
    <w:p>
      <w:pPr>
        <w:numPr>
          <w:ilvl w:val="0"/>
          <w:numId w:val="10"/>
        </w:numPr>
        <w:keepLines/>
        <w:widowControl/>
      </w:pPr>
      <w:r>
        <w:t>Capacity or ROI estimates: use formulas and ranges only after Acme validates loaded cost and hiring volume.</w:t>
      </w:r>
    </w:p>
    <w:p>
      <w:pPr>
        <w:pStyle w:val="Heading2"/>
        <w:keepNext/>
        <w:keepLines/>
        <w:widowControl/>
      </w:pPr>
      <w:r>
        <w:t>The illustrative Finance formula</w:t>
      </w:r>
    </w:p>
    <w:p>
      <w:pPr>
        <w:pStyle w:val="CommandBlock"/>
        <w:shd w:fill="F2F4F7"/>
        <w:pBdr>
          <w:left w:val="single" w:sz="10" w:space="6" w:color="5E6B75"/>
        </w:pBdr>
        <w:keepLines/>
        <w:widowControl/>
      </w:pPr>
      <w:r>
        <w:t>annual hires × ramp weeks recovered × loaded weekly cost</w:t>
        <w:br/>
        <w:t>Illustration only: 6 hires/year × ~4 weeks × ~$4,000/week ≈ $90,000–$100,000/year for one team</w:t>
      </w:r>
    </w:p>
    <w:p>
      <w:pPr>
        <w:keepLines/>
        <w:widowControl/>
      </w:pPr>
      <w:r>
        <w:rPr>
          <w:i w:val="0"/>
        </w:rPr>
        <w:t>Why label it illustrative: the arithmetic can help Finance understand the value mechanism, but the inputs are not customer-approved facts. Presenting the estimate as realized ROI would weaken the entire evidence story.</w:t>
      </w:r>
    </w:p>
    <w:p>
      <w:pPr>
        <w:pStyle w:val="Heading2"/>
        <w:keepNext/>
        <w:keepLines/>
        <w:widowControl/>
      </w:pPr>
      <w:r>
        <w:t>Stop conditions</w:t>
      </w:r>
    </w:p>
    <w:p>
      <w:pPr>
        <w:numPr>
          <w:ilvl w:val="0"/>
          <w:numId w:val="10"/>
        </w:numPr>
        <w:keepLines/>
        <w:widowControl/>
      </w:pPr>
      <w:r>
        <w:t>No accepted outcome definition or baseline.</w:t>
      </w:r>
    </w:p>
    <w:p>
      <w:pPr>
        <w:numPr>
          <w:ilvl w:val="0"/>
          <w:numId w:val="10"/>
        </w:numPr>
        <w:keepLines/>
        <w:widowControl/>
      </w:pPr>
      <w:r>
        <w:t>No accountable customer owner.</w:t>
      </w:r>
    </w:p>
    <w:p>
      <w:pPr>
        <w:numPr>
          <w:ilvl w:val="0"/>
          <w:numId w:val="10"/>
        </w:numPr>
        <w:keepLines/>
        <w:widowControl/>
      </w:pPr>
      <w:r>
        <w:t>Security or permission controls cannot be satisfied.</w:t>
      </w:r>
    </w:p>
    <w:p>
      <w:pPr>
        <w:numPr>
          <w:ilvl w:val="0"/>
          <w:numId w:val="10"/>
        </w:numPr>
        <w:keepLines/>
        <w:widowControl/>
      </w:pPr>
      <w:r>
        <w:t>Tasks cannot be made comparable.</w:t>
      </w:r>
    </w:p>
    <w:p>
      <w:pPr>
        <w:numPr>
          <w:ilvl w:val="0"/>
          <w:numId w:val="10"/>
        </w:numPr>
        <w:keepLines/>
        <w:widowControl/>
      </w:pPr>
      <w:r>
        <w:t>Speed comes with materially worse quality.</w:t>
      </w:r>
    </w:p>
    <w:p>
      <w:pPr>
        <w:numPr>
          <w:ilvl w:val="0"/>
          <w:numId w:val="10"/>
        </w:numPr>
        <w:keepLines/>
        <w:widowControl/>
      </w:pPr>
      <w:r>
        <w:t>The workflow still depends on the SA after the planned handoff.</w:t>
      </w:r>
    </w:p>
    <w:p>
      <w:pPr>
        <w:pStyle w:val="Heading1"/>
        <w:keepNext/>
        <w:keepLines/>
        <w:widowControl/>
      </w:pPr>
      <w:r>
        <w:t>5. The engagement and ownership-transfer plan</w:t>
      </w:r>
    </w:p>
    <w:p>
      <w:pPr>
        <w:pStyle w:val="Heading2"/>
        <w:keepNext/>
        <w:keepLines/>
        <w:widowControl/>
      </w:pPr>
      <w:r>
        <w:t>Three sessions that turn a prototype into an operating habit</w:t>
      </w:r>
    </w:p>
    <w:p>
      <w:pPr>
        <w:pStyle w:val="Heading3"/>
        <w:keepNext/>
        <w:keepLines/>
        <w:widowControl/>
      </w:pPr>
      <w:r>
        <w:t>Session 1 — Baseline and co-design (90 minutes)</w:t>
      </w:r>
    </w:p>
    <w:p>
      <w:pPr>
        <w:keepLines/>
        <w:widowControl/>
      </w:pPr>
      <w:r>
        <w:rPr>
          <w:i w:val="0"/>
        </w:rPr>
        <w:t>David Park (Engineering Manager) defines “meaningful PR” and accepts the baseline. Ravi Shah (Product Manager) supplies real bounded tasks and owns the task rubric. Nina Alvarez (QA / Test Lead) defines the rework taxonomy and review acceptance criteria. Marcus Webb (DevOps / Platform Owner) owns CI, permission, and environment boundaries. Maya Chen (Staff Engineer) and a new joiner adapt the rules, commands, model policy, and contribution plan gate. The team also adapts the focused-test CI filter, which is currently specific to the proof contribution.</w:t>
      </w:r>
    </w:p>
    <w:p>
      <w:pPr>
        <w:numPr>
          <w:ilvl w:val="0"/>
          <w:numId w:val="10"/>
        </w:numPr>
        <w:keepLines/>
        <w:widowControl/>
      </w:pPr>
      <w:r>
        <w:t>Exit: signed charter, two or three comparable tasks, accepted baseline, approved controls, evidence ledger, and a named owner for every operating artifact.</w:t>
      </w:r>
    </w:p>
    <w:p>
      <w:pPr>
        <w:keepLines/>
        <w:widowControl/>
      </w:pPr>
      <w:r>
        <w:rPr>
          <w:i w:val="0"/>
        </w:rPr>
        <w:t>Why: aligning the evidence contract before changing the workflow keeps the pilot from becoming a demo looking for a justification.</w:t>
      </w:r>
    </w:p>
    <w:p>
      <w:pPr>
        <w:pStyle w:val="Heading3"/>
        <w:keepNext/>
        <w:keepLines/>
        <w:widowControl/>
      </w:pPr>
      <w:r>
        <w:t>Session 2 — Paired pilot and observation (two 60-minute blocks)</w:t>
      </w:r>
    </w:p>
    <w:p>
      <w:pPr>
        <w:keepLines/>
        <w:widowControl/>
      </w:pPr>
      <w:r>
        <w:rPr>
          <w:i w:val="0"/>
        </w:rPr>
        <w:t>The new joiner drives; Maya Chen (Staff Engineer) coaches; the SA observes and intervenes only when needed. Nina Alvarez (QA / Test Lead) evaluates tests and rework. Marcus Webb (DevOps / Platform Owner) validates what reaches CI and where the workflow must stop.</w:t>
      </w:r>
    </w:p>
    <w:p>
      <w:pPr>
        <w:numPr>
          <w:ilvl w:val="0"/>
          <w:numId w:val="10"/>
        </w:numPr>
        <w:keepLines/>
        <w:widowControl/>
      </w:pPr>
      <w:r>
        <w:t>Exit: at least one end-to-end contribution, recorded interventions, honest failures, named workflow changes, and no hidden SA rescue.</w:t>
      </w:r>
    </w:p>
    <w:p>
      <w:pPr>
        <w:keepLines/>
        <w:widowControl/>
      </w:pPr>
      <w:r>
        <w:rPr>
          <w:i w:val="0"/>
        </w:rPr>
        <w:t>Why: the learner must drive. If the SA silently saves the run, the pilot measures the SA’s expertise instead of the workflow’s usability.</w:t>
      </w:r>
    </w:p>
    <w:p>
      <w:pPr>
        <w:pStyle w:val="Heading3"/>
        <w:keepNext/>
        <w:keepLines/>
        <w:widowControl/>
      </w:pPr>
      <w:r>
        <w:t>Session 3 — Handoff and scale decision (60 minutes)</w:t>
      </w:r>
    </w:p>
    <w:p>
      <w:pPr>
        <w:keepLines/>
        <w:widowControl/>
      </w:pPr>
      <w:r>
        <w:rPr>
          <w:i w:val="0"/>
        </w:rPr>
        <w:t>Maya Chen (Staff Engineer) changes a rule, command, or model pin without the SA. Ravi Shah (Product Manager) changes the task rubric; Nina Alvarez (QA / Test Lead) changes a review criterion; Marcus Webb (DevOps / Platform Owner) changes a CI or boundary policy. A second engineer runs the workflow from a fresh task. David Park (Engineering Manager) presents the readout, and Priya Nair (Director of Engineering) chooses iterate, expand to one stalled team, or stop.</w:t>
      </w:r>
    </w:p>
    <w:p>
      <w:pPr>
        <w:numPr>
          <w:ilvl w:val="0"/>
          <w:numId w:val="10"/>
        </w:numPr>
        <w:keepLines/>
        <w:widowControl/>
      </w:pPr>
      <w:r>
        <w:t>Exit: Acme-owned assets, named maintainers, a 30-day review cadence, and a decision grounded in evidence.</w:t>
      </w:r>
    </w:p>
    <w:p>
      <w:pPr>
        <w:keepLines/>
        <w:widowControl/>
      </w:pPr>
      <w:r>
        <w:rPr>
          <w:i w:val="0"/>
        </w:rPr>
        <w:t>Why: teach-to-fish is observable behavior, not a claim. Each cross-functional owner making one independent change proves that the software-factory workflow belongs to the whole delivery system, not only to one staff engineer.</w:t>
      </w:r>
    </w:p>
    <w:p>
      <w:pPr>
        <w:pStyle w:val="Heading2"/>
        <w:keepNext/>
        <w:keepLines/>
        <w:widowControl/>
      </w:pPr>
      <w:r>
        <w:t>The 90-day shape</w:t>
      </w:r>
    </w:p>
    <w:tbl>
      <w:tblPr>
        <w:tblStyle w:val="TableGrid"/>
        <w:tblW w:type="dxa" w:w="9360"/>
        <w:jc w:val="left"/>
        <w:tblLayout w:type="fixed"/>
        <w:tblLook w:firstColumn="1" w:firstRow="1" w:lastColumn="0" w:lastRow="0" w:noHBand="0" w:noVBand="1" w:val="04A0"/>
        <w:tblInd w:type="dxa" w:w="120"/>
      </w:tblPr>
      <w:tblGrid>
        <w:gridCol w:w="1500"/>
        <w:gridCol w:w="4750"/>
        <w:gridCol w:w="3110"/>
      </w:tblGrid>
      <w:tr>
        <w:trPr>
          <w:trHeight w:hRule="auto"/>
          <w:tblHeader w:val="true"/>
        </w:trPr>
        <w:tc>
          <w:tcPr>
            <w:tcW w:type="dxa" w:w="15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Window</w:t>
            </w:r>
          </w:p>
        </w:tc>
        <w:tc>
          <w:tcPr>
            <w:tcW w:type="dxa" w:w="475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Outcome</w:t>
            </w:r>
          </w:p>
        </w:tc>
        <w:tc>
          <w:tcPr>
            <w:tcW w:type="dxa" w:w="311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Why now</w:t>
            </w:r>
          </w:p>
        </w:tc>
      </w:tr>
      <w:tr>
        <w:trPr>
          <w:trHeight w:hRule="auto"/>
        </w:trPr>
        <w:tc>
          <w:tcPr>
            <w:tcW w:type="dxa" w:w="15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Days 0–10</w:t>
            </w:r>
          </w:p>
        </w:tc>
        <w:tc>
          <w:tcPr>
            <w:tcW w:type="dxa" w:w="47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Baseline, cohort, definitions, controls, stakeholder alignment</w:t>
            </w:r>
          </w:p>
        </w:tc>
        <w:tc>
          <w:tcPr>
            <w:tcW w:type="dxa" w:w="31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Front-loads truth and removes hidden blockers.</w:t>
            </w:r>
          </w:p>
        </w:tc>
      </w:tr>
      <w:tr>
        <w:trPr>
          <w:trHeight w:hRule="auto"/>
        </w:trPr>
        <w:tc>
          <w:tcPr>
            <w:tcW w:type="dxa" w:w="15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Days 11–35</w:t>
            </w:r>
          </w:p>
        </w:tc>
        <w:tc>
          <w:tcPr>
            <w:tcW w:type="dxa" w:w="47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Co-build and paired pilot; capture evidence at every handoff</w:t>
            </w:r>
          </w:p>
        </w:tc>
        <w:tc>
          <w:tcPr>
            <w:tcW w:type="dxa" w:w="311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Generates real operating data while change is still adjustable.</w:t>
            </w:r>
          </w:p>
        </w:tc>
      </w:tr>
      <w:tr>
        <w:trPr>
          <w:trHeight w:hRule="auto"/>
        </w:trPr>
        <w:tc>
          <w:tcPr>
            <w:tcW w:type="dxa" w:w="15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Days 36–55</w:t>
            </w:r>
          </w:p>
        </w:tc>
        <w:tc>
          <w:tcPr>
            <w:tcW w:type="dxa" w:w="47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Teach-back and second run without SA ownership</w:t>
            </w:r>
          </w:p>
        </w:tc>
        <w:tc>
          <w:tcPr>
            <w:tcW w:type="dxa" w:w="31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Tests maintainability before executive claims.</w:t>
            </w:r>
          </w:p>
        </w:tc>
      </w:tr>
      <w:tr>
        <w:trPr>
          <w:trHeight w:hRule="auto"/>
        </w:trPr>
        <w:tc>
          <w:tcPr>
            <w:tcW w:type="dxa" w:w="15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Days 56–70</w:t>
            </w:r>
          </w:p>
        </w:tc>
        <w:tc>
          <w:tcPr>
            <w:tcW w:type="dxa" w:w="47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Midpoint readout to Priya Nair (Director of Engineering); choose whether to expand</w:t>
            </w:r>
          </w:p>
        </w:tc>
        <w:tc>
          <w:tcPr>
            <w:tcW w:type="dxa" w:w="311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Engages the decision-maker before the renewal narrative hardens.</w:t>
            </w:r>
          </w:p>
        </w:tc>
      </w:tr>
      <w:tr>
        <w:trPr>
          <w:trHeight w:hRule="auto"/>
        </w:trPr>
        <w:tc>
          <w:tcPr>
            <w:tcW w:type="dxa" w:w="15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Days 71–85</w:t>
            </w:r>
          </w:p>
        </w:tc>
        <w:tc>
          <w:tcPr>
            <w:tcW w:type="dxa" w:w="47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One bounded repeatability test; document gaps</w:t>
            </w:r>
          </w:p>
        </w:tc>
        <w:tc>
          <w:tcPr>
            <w:tcW w:type="dxa" w:w="31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Tests portability without over-rolling out.</w:t>
            </w:r>
          </w:p>
        </w:tc>
      </w:tr>
      <w:tr>
        <w:trPr>
          <w:trHeight w:hRule="auto"/>
        </w:trPr>
        <w:tc>
          <w:tcPr>
            <w:tcW w:type="dxa" w:w="15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Days 86–90</w:t>
            </w:r>
          </w:p>
        </w:tc>
        <w:tc>
          <w:tcPr>
            <w:tcW w:type="dxa" w:w="47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ADM/AE renewal narrative and executive decision</w:t>
            </w:r>
          </w:p>
        </w:tc>
        <w:tc>
          <w:tcPr>
            <w:tcW w:type="dxa" w:w="311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Packages only evidence that survived technical and customer scrutiny.</w:t>
            </w:r>
          </w:p>
        </w:tc>
      </w:tr>
    </w:tbl>
    <w:p>
      <w:pPr>
        <w:widowControl/>
        <w:spacing w:before="0" w:after="20"/>
      </w:pPr>
    </w:p>
    <w:p>
      <w:pPr>
        <w:pStyle w:val="Heading2"/>
        <w:keepNext/>
        <w:keepLines/>
        <w:widowControl/>
      </w:pPr>
      <w:r>
        <w:t>What you need from the ADM</w:t>
      </w:r>
    </w:p>
    <w:p>
      <w:pPr>
        <w:numPr>
          <w:ilvl w:val="0"/>
          <w:numId w:val="11"/>
        </w:numPr>
        <w:keepLines/>
        <w:widowControl/>
      </w:pPr>
      <w:r>
        <w:t>Stakeholder choreography: named commitment from David Park (Engineering Manager) and Maya Chen (Staff Engineer); a short baseline alignment with Nina Alvarez (QA / Test Lead), Marcus Webb (DevOps / Platform Owner), and Ravi Shah (Product Manager); and two Priya Nair (Director of Engineering) checkpoints.</w:t>
      </w:r>
    </w:p>
    <w:p>
      <w:pPr>
        <w:numPr>
          <w:ilvl w:val="0"/>
          <w:numId w:val="11"/>
        </w:numPr>
        <w:keepLines/>
        <w:widowControl/>
      </w:pPr>
      <w:r>
        <w:t>Account evidence: segmented Cursor telemetry, the two stalled teams’ context, and clarity on the competitive and commercial decision process.</w:t>
      </w:r>
    </w:p>
    <w:p>
      <w:pPr>
        <w:numPr>
          <w:ilvl w:val="0"/>
          <w:numId w:val="11"/>
        </w:numPr>
        <w:keepLines/>
        <w:widowControl/>
      </w:pPr>
      <w:r>
        <w:t>Renewal partnership: a decision log, pressure-testing of executive-worthy evidence, and joint packaging with the AE.</w:t>
      </w:r>
    </w:p>
    <w:p>
      <w:pPr>
        <w:keepLines/>
        <w:widowControl/>
      </w:pPr>
      <w:r>
        <w:rPr>
          <w:i w:val="0"/>
        </w:rPr>
        <w:t>Why keep the ask light: the ADM carries many accounts and should not become the pilot project manager. The SA runs the technical engagement and sends concise weekly updates containing decisions, evidence, risks, and the next specific ask.</w:t>
      </w:r>
    </w:p>
    <w:p>
      <w:pPr>
        <w:pStyle w:val="Heading2"/>
        <w:keepNext/>
        <w:keepLines/>
        <w:widowControl/>
      </w:pPr>
      <w:r>
        <w:t>What to ask from Cursor leadership</w:t>
      </w:r>
    </w:p>
    <w:p>
      <w:pPr>
        <w:numPr>
          <w:ilvl w:val="0"/>
          <w:numId w:val="10"/>
        </w:numPr>
        <w:keepLines/>
        <w:widowControl/>
      </w:pPr>
      <w:r>
        <w:t>Product and analytics escalation for enterprise telemetry, hooks, team-rule rollout, policy blockers, and team-level export.</w:t>
      </w:r>
    </w:p>
    <w:p>
      <w:pPr>
        <w:numPr>
          <w:ilvl w:val="0"/>
          <w:numId w:val="10"/>
        </w:numPr>
        <w:keepLines/>
        <w:widowControl/>
      </w:pPr>
      <w:r>
        <w:t>An executive sponsor for the midpoint review with Priya Nair (Director of Engineering), briefed on evidence and competitive context.</w:t>
      </w:r>
    </w:p>
    <w:p>
      <w:pPr>
        <w:numPr>
          <w:ilvl w:val="0"/>
          <w:numId w:val="10"/>
        </w:numPr>
        <w:keepLines/>
        <w:widowControl/>
      </w:pPr>
      <w:r>
        <w:t>A validated competitive/TCO framework and reusable onboarding-pilot kit: data dictionary, security checklist, evidence ledger, and reference architecture.</w:t>
      </w:r>
    </w:p>
    <w:p>
      <w:pPr>
        <w:pStyle w:val="Heading1"/>
        <w:keepNext/>
        <w:keepLines/>
        <w:widowControl/>
      </w:pPr>
      <w:r>
        <w:t>6. Cursor capabilities: what each one is for</w:t>
      </w:r>
    </w:p>
    <w:p>
      <w:pPr>
        <w:pStyle w:val="LeadCallout"/>
        <w:shd w:fill="E8F1F7"/>
        <w:pBdr>
          <w:left w:val="single" w:sz="18" w:space="7" w:color="2E74B5"/>
        </w:pBdr>
        <w:keepLines/>
        <w:widowControl/>
      </w:pPr>
      <w:r>
        <w:rPr>
          <w:b/>
          <w:color w:val="2E74B5"/>
        </w:rPr>
        <w:t xml:space="preserve">Positioning rule  </w:t>
      </w:r>
      <w:r>
        <w:t>Lead account-risk first, then name the Cursor mechanism. Every capability must resolve one Acme risk, change one stakeholder’s behavior, or strengthen one piece of renewal evidence.</w:t>
      </w:r>
    </w:p>
    <w:p>
      <w:pPr>
        <w:pStyle w:val="Heading2"/>
        <w:keepNext/>
        <w:keepLines/>
        <w:widowControl/>
      </w:pPr>
      <w:r>
        <w:t>The 90-second capability map</w:t>
      </w:r>
    </w:p>
    <w:tbl>
      <w:tblPr>
        <w:tblStyle w:val="TableGrid"/>
        <w:tblW w:type="dxa" w:w="9360"/>
        <w:jc w:val="left"/>
        <w:tblLayout w:type="fixed"/>
        <w:tblLook w:firstColumn="1" w:firstRow="1" w:lastColumn="0" w:lastRow="0" w:noHBand="0" w:noVBand="1" w:val="04A0"/>
        <w:tblInd w:type="dxa" w:w="120"/>
      </w:tblPr>
      <w:tblGrid>
        <w:gridCol w:w="1900"/>
        <w:gridCol w:w="3500"/>
        <w:gridCol w:w="3960"/>
      </w:tblGrid>
      <w:tr>
        <w:trPr>
          <w:trHeight w:hRule="auto"/>
          <w:tblHeader w:val="true"/>
        </w:trPr>
        <w:tc>
          <w:tcPr>
            <w:tcW w:type="dxa" w:w="19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Acme risk</w:t>
            </w:r>
          </w:p>
        </w:tc>
        <w:tc>
          <w:tcPr>
            <w:tcW w:type="dxa" w:w="35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Cursor response</w:t>
            </w:r>
          </w:p>
        </w:tc>
        <w:tc>
          <w:tcPr>
            <w:tcW w:type="dxa" w:w="396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Why it earns a place</w:t>
            </w:r>
          </w:p>
        </w:tc>
      </w:tr>
      <w:tr>
        <w:trPr>
          <w:trHeight w:hRule="auto"/>
        </w:trPr>
        <w:tc>
          <w:tcPr>
            <w:tcW w:type="dxa" w:w="19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Fragmented tools</w:t>
            </w:r>
          </w:p>
        </w:tc>
        <w:tc>
          <w:tcPr>
            <w:tcW w:type="dxa" w:w="35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One governed model and workflow surface: rules, commands, admin policy</w:t>
            </w:r>
          </w:p>
        </w:tc>
        <w:tc>
          <w:tcPr>
            <w:tcW w:type="dxa" w:w="39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Preserves model choice while consolidating access, spend policy, and telemetry.</w:t>
            </w:r>
          </w:p>
        </w:tc>
      </w:tr>
      <w:tr>
        <w:trPr>
          <w:trHeight w:hRule="auto"/>
        </w:trPr>
        <w:tc>
          <w:tcPr>
            <w:tcW w:type="dxa" w:w="19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One expert-built workflow</w:t>
            </w:r>
          </w:p>
        </w:tc>
        <w:tc>
          <w:tcPr>
            <w:tcW w:type="dxa" w:w="35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Repo-owned skills and subagents; Team Marketplace distribution at scale</w:t>
            </w:r>
          </w:p>
        </w:tc>
        <w:tc>
          <w:tcPr>
            <w:tcW w:type="dxa" w:w="39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Turns a hero workflow into a distributable paved road that teams still adapt and own.</w:t>
            </w:r>
          </w:p>
        </w:tc>
      </w:tr>
      <w:tr>
        <w:trPr>
          <w:trHeight w:hRule="auto"/>
        </w:trPr>
        <w:tc>
          <w:tcPr>
            <w:tcW w:type="dxa" w:w="19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Unclear ROI</w:t>
            </w:r>
          </w:p>
        </w:tc>
        <w:tc>
          <w:tcPr>
            <w:tcW w:type="dxa" w:w="35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Cursor usage attribution matched to Git, review, CI, and deploy outcomes</w:t>
            </w:r>
          </w:p>
        </w:tc>
        <w:tc>
          <w:tcPr>
            <w:tcW w:type="dxa" w:w="39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Separates exposure and adoption from measured ramp, quality, and delivery results.</w:t>
            </w:r>
          </w:p>
        </w:tc>
      </w:tr>
      <w:tr>
        <w:trPr>
          <w:trHeight w:hRule="auto"/>
        </w:trPr>
        <w:tc>
          <w:tcPr>
            <w:tcW w:type="dxa" w:w="19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Quality concern</w:t>
            </w:r>
          </w:p>
        </w:tc>
        <w:tc>
          <w:tcPr>
            <w:tcW w:type="dxa" w:w="35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Independent review, human judgment, and deterministic CI</w:t>
            </w:r>
          </w:p>
        </w:tc>
        <w:tc>
          <w:tcPr>
            <w:tcW w:type="dxa" w:w="39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Creates layered trust without claiming that agentic review replaces an authority.</w:t>
            </w:r>
          </w:p>
        </w:tc>
      </w:tr>
    </w:tbl>
    <w:p>
      <w:pPr>
        <w:widowControl/>
        <w:spacing w:before="0" w:after="20"/>
      </w:pPr>
    </w:p>
    <w:p>
      <w:pPr>
        <w:keepLines/>
        <w:widowControl/>
      </w:pPr>
      <w:r>
        <w:rPr>
          <w:i w:val="0"/>
        </w:rPr>
        <w:t>Say that selection is deliberate: custom modes, MCP, hooks, Bugbot, and cloud agents are staged where their controls and owners are not yet approved. “Not enabled” is a decision with a design attached, not evidence that the capability was forgotten.</w:t>
      </w:r>
    </w:p>
    <w:p>
      <w:pPr>
        <w:pStyle w:val="Heading2"/>
        <w:keepNext/>
        <w:keepLines/>
        <w:widowControl/>
      </w:pPr>
      <w:r>
        <w:t>Capability jobs and staging</w:t>
      </w:r>
    </w:p>
    <w:tbl>
      <w:tblPr>
        <w:tblStyle w:val="TableGrid"/>
        <w:tblW w:type="dxa" w:w="9360"/>
        <w:jc w:val="left"/>
        <w:tblLayout w:type="fixed"/>
        <w:tblLook w:firstColumn="1" w:firstRow="1" w:lastColumn="0" w:lastRow="0" w:noHBand="0" w:noVBand="1" w:val="04A0"/>
        <w:tblInd w:type="dxa" w:w="120"/>
      </w:tblPr>
      <w:tblGrid>
        <w:gridCol w:w="1850"/>
        <w:gridCol w:w="3510"/>
        <w:gridCol w:w="4000"/>
      </w:tblGrid>
      <w:tr>
        <w:trPr>
          <w:trHeight w:hRule="auto"/>
          <w:tblHeader w:val="true"/>
        </w:trPr>
        <w:tc>
          <w:tcPr>
            <w:tcW w:type="dxa" w:w="185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Capability</w:t>
            </w:r>
          </w:p>
        </w:tc>
        <w:tc>
          <w:tcPr>
            <w:tcW w:type="dxa" w:w="351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Job in this plan</w:t>
            </w:r>
          </w:p>
        </w:tc>
        <w:tc>
          <w:tcPr>
            <w:tcW w:type="dxa" w:w="40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Why it is separated</w:t>
            </w:r>
          </w:p>
        </w:tc>
      </w:tr>
      <w:tr>
        <w:trPr>
          <w:trHeight w:hRule="auto"/>
        </w:trPr>
        <w:tc>
          <w:tcPr>
            <w:tcW w:type="dxa" w:w="18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Project rules</w:t>
            </w:r>
          </w:p>
        </w:tc>
        <w:tc>
          <w:tcPr>
            <w:tcW w:type="dxa" w:w="35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Carry stable repository-scoped conventions in version control.</w:t>
            </w:r>
          </w:p>
        </w:tc>
        <w:tc>
          <w:tcPr>
            <w:tcW w:type="dxa" w:w="40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Keeps common guidance discoverable and maintainable near the code.</w:t>
            </w:r>
          </w:p>
        </w:tc>
      </w:tr>
      <w:tr>
        <w:trPr>
          <w:trHeight w:hRule="auto"/>
        </w:trPr>
        <w:tc>
          <w:tcPr>
            <w:tcW w:type="dxa" w:w="18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Commands</w:t>
            </w:r>
          </w:p>
        </w:tc>
        <w:tc>
          <w:tcPr>
            <w:tcW w:type="dxa" w:w="351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Expose repeatable workflows such as planning, first contribution, review, and evidence collection.</w:t>
            </w:r>
          </w:p>
        </w:tc>
        <w:tc>
          <w:tcPr>
            <w:tcW w:type="dxa" w:w="40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Turns good behavior into an easy-to-run team habit.</w:t>
            </w:r>
          </w:p>
        </w:tc>
      </w:tr>
      <w:tr>
        <w:trPr>
          <w:trHeight w:hRule="auto"/>
        </w:trPr>
        <w:tc>
          <w:tcPr>
            <w:tcW w:type="dxa" w:w="18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Skills</w:t>
            </w:r>
          </w:p>
        </w:tc>
        <w:tc>
          <w:tcPr>
            <w:tcW w:type="dxa" w:w="35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Load deeper domain procedure on demand.</w:t>
            </w:r>
          </w:p>
        </w:tc>
        <w:tc>
          <w:tcPr>
            <w:tcW w:type="dxa" w:w="40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Avoids bloating always-on context while preserving expert guidance.</w:t>
            </w:r>
          </w:p>
        </w:tc>
      </w:tr>
      <w:tr>
        <w:trPr>
          <w:trHeight w:hRule="auto"/>
        </w:trPr>
        <w:tc>
          <w:tcPr>
            <w:tcW w:type="dxa" w:w="18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Subagents</w:t>
            </w:r>
          </w:p>
        </w:tc>
        <w:tc>
          <w:tcPr>
            <w:tcW w:type="dxa" w:w="351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Separate read-only planning, approved implementation, and fresh skeptical review.</w:t>
            </w:r>
          </w:p>
        </w:tc>
        <w:tc>
          <w:tcPr>
            <w:tcW w:type="dxa" w:w="40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Carries phase, model, and write-access policy as versioned frontmatter.</w:t>
            </w:r>
          </w:p>
        </w:tc>
      </w:tr>
      <w:tr>
        <w:trPr>
          <w:trHeight w:hRule="auto"/>
        </w:trPr>
        <w:tc>
          <w:tcPr>
            <w:tcW w:type="dxa" w:w="18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Custom mode</w:t>
            </w:r>
          </w:p>
        </w:tc>
        <w:tc>
          <w:tcPr>
            <w:tcW w:type="dxa" w:w="35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Offer a plan-first, limited-tool surface for week-one joiners if cohort evidence justifies it.</w:t>
            </w:r>
          </w:p>
        </w:tc>
        <w:tc>
          <w:tcPr>
            <w:tcW w:type="dxa" w:w="40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Staged and inert; the team enables it only if the default surface proves too open.</w:t>
            </w:r>
          </w:p>
        </w:tc>
      </w:tr>
      <w:tr>
        <w:trPr>
          <w:trHeight w:hRule="auto"/>
        </w:trPr>
        <w:tc>
          <w:tcPr>
            <w:tcW w:type="dxa" w:w="18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Hooks</w:t>
            </w:r>
          </w:p>
        </w:tc>
        <w:tc>
          <w:tcPr>
            <w:tcW w:type="dxa" w:w="351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Add approved measurement, audit, or blocking behavior.</w:t>
            </w:r>
          </w:p>
        </w:tc>
        <w:tc>
          <w:tcPr>
            <w:tcW w:type="dxa" w:w="40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A future tool-policy layer, not a substitute for repository permissions or CI.</w:t>
            </w:r>
          </w:p>
        </w:tc>
      </w:tr>
      <w:tr>
        <w:trPr>
          <w:trHeight w:hRule="auto"/>
        </w:trPr>
        <w:tc>
          <w:tcPr>
            <w:tcW w:type="dxa" w:w="18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MCP</w:t>
            </w:r>
          </w:p>
        </w:tc>
        <w:tc>
          <w:tcPr>
            <w:tcW w:type="dxa" w:w="35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Pull issue, PR, review, and CI context with least privilege.</w:t>
            </w:r>
          </w:p>
        </w:tc>
        <w:tc>
          <w:tcPr>
            <w:tcW w:type="dxa" w:w="40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A read-only GitHub design is staged for security review; it is not enabled in the wedge.</w:t>
            </w:r>
          </w:p>
        </w:tc>
      </w:tr>
      <w:tr>
        <w:trPr>
          <w:trHeight w:hRule="auto"/>
        </w:trPr>
        <w:tc>
          <w:tcPr>
            <w:tcW w:type="dxa" w:w="18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Bugbot</w:t>
            </w:r>
          </w:p>
        </w:tc>
        <w:tc>
          <w:tcPr>
            <w:tcW w:type="dxa" w:w="351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Add an independent-from-author PR review pass.</w:t>
            </w:r>
          </w:p>
        </w:tc>
        <w:tc>
          <w:tcPr>
            <w:tcW w:type="dxa" w:w="40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Human review and CI remain authoritative; blocking behavior is a later explicit policy choice.</w:t>
            </w:r>
          </w:p>
        </w:tc>
      </w:tr>
      <w:tr>
        <w:trPr>
          <w:trHeight w:hRule="auto"/>
        </w:trPr>
        <w:tc>
          <w:tcPr>
            <w:tcW w:type="dxa" w:w="18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Cloud agents / automations</w:t>
            </w:r>
          </w:p>
        </w:tc>
        <w:tc>
          <w:tcPr>
            <w:tcW w:type="dxa" w:w="35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Execute bounded approved work or check drift after the foreground path earns trust.</w:t>
            </w:r>
          </w:p>
        </w:tc>
        <w:tc>
          <w:tcPr>
            <w:tcW w:type="dxa" w:w="40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Write access, secrets, network, spend, review, and deployment controls must be proportionate.</w:t>
            </w:r>
          </w:p>
        </w:tc>
      </w:tr>
      <w:tr>
        <w:trPr>
          <w:trHeight w:hRule="auto"/>
        </w:trPr>
        <w:tc>
          <w:tcPr>
            <w:tcW w:type="dxa" w:w="18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Team Rules, Marketplace, analytics</w:t>
            </w:r>
          </w:p>
        </w:tc>
        <w:tc>
          <w:tcPr>
            <w:tcW w:type="dxa" w:w="351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Distribute universal governance, reusable packages, and adoption evidence.</w:t>
            </w:r>
          </w:p>
        </w:tc>
        <w:tc>
          <w:tcPr>
            <w:tcW w:type="dxa" w:w="40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Universal policy stays central; repository context remains versioned and team-owned.</w:t>
            </w:r>
          </w:p>
        </w:tc>
      </w:tr>
    </w:tbl>
    <w:p>
      <w:pPr>
        <w:widowControl/>
        <w:spacing w:before="0" w:after="20"/>
      </w:pPr>
    </w:p>
    <w:p>
      <w:pPr>
        <w:pStyle w:val="Heading2"/>
        <w:keepNext/>
        <w:keepLines/>
        <w:widowControl/>
      </w:pPr>
      <w:r>
        <w:t>The one-breath model policy</w:t>
      </w:r>
    </w:p>
    <w:p>
      <w:pPr>
        <w:pStyle w:val="CommandBlock"/>
        <w:shd w:fill="F2F4F7"/>
        <w:pBdr>
          <w:left w:val="single" w:sz="10" w:space="6" w:color="5E6B75"/>
        </w:pBdr>
        <w:keepLines/>
        <w:widowControl/>
      </w:pPr>
      <w:r>
        <w:t>“Planning and repository analysis inherit the deliberately selected main-conversation model and run read-only; bounded edits after plan approval run on an explicit Composer binding—Cursor-native and cost-efficient; high-risk review gets an independent reviewer plus deterministic gates; Auto is the default where Cursor’s router has fresher information than a static policy. The routing is policy-as-code in subagent frontmatter; the enforced boundary is the admin model allowlist.”</w:t>
      </w:r>
    </w:p>
    <w:tbl>
      <w:tblPr>
        <w:tblStyle w:val="TableGrid"/>
        <w:tblW w:type="dxa" w:w="9360"/>
        <w:jc w:val="left"/>
        <w:tblLayout w:type="fixed"/>
        <w:tblLook w:firstColumn="1" w:firstRow="1" w:lastColumn="0" w:lastRow="0" w:noHBand="0" w:noVBand="1" w:val="04A0"/>
        <w:tblInd w:type="dxa" w:w="120"/>
      </w:tblPr>
      <w:tblGrid>
        <w:gridCol w:w="2300"/>
        <w:gridCol w:w="2850"/>
        <w:gridCol w:w="4210"/>
      </w:tblGrid>
      <w:tr>
        <w:trPr>
          <w:trHeight w:hRule="auto"/>
          <w:tblHeader w:val="true"/>
        </w:trPr>
        <w:tc>
          <w:tcPr>
            <w:tcW w:type="dxa" w:w="23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Phase</w:t>
            </w:r>
          </w:p>
        </w:tc>
        <w:tc>
          <w:tcPr>
            <w:tcW w:type="dxa" w:w="285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Current binding</w:t>
            </w:r>
          </w:p>
        </w:tc>
        <w:tc>
          <w:tcPr>
            <w:tcW w:type="dxa" w:w="421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What you may claim</w:t>
            </w:r>
          </w:p>
        </w:tc>
      </w:tr>
      <w:tr>
        <w:trPr>
          <w:trHeight w:hRule="auto"/>
        </w:trPr>
        <w:tc>
          <w:tcPr>
            <w:tcW w:type="dxa" w:w="23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Plan / repository analysis</w:t>
            </w:r>
          </w:p>
        </w:tc>
        <w:tc>
          <w:tcPr>
            <w:tcW w:type="dxa" w:w="28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contribution-planner: inherit + readonly</w:t>
            </w:r>
          </w:p>
        </w:tc>
        <w:tc>
          <w:tcPr>
            <w:tcW w:type="dxa" w:w="42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Inherits the deliberately selected parent model; inherit does not itself guarantee a reasoning tier.</w:t>
            </w:r>
          </w:p>
        </w:tc>
      </w:tr>
      <w:tr>
        <w:trPr>
          <w:trHeight w:hRule="auto"/>
        </w:trPr>
        <w:tc>
          <w:tcPr>
            <w:tcW w:type="dxa" w:w="23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Approved implementation</w:t>
            </w:r>
          </w:p>
        </w:tc>
        <w:tc>
          <w:tcPr>
            <w:tcW w:type="dxa" w:w="28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contribution-implementer: composer-2.5</w:t>
            </w:r>
          </w:p>
        </w:tc>
        <w:tc>
          <w:tcPr>
            <w:tcW w:type="dxa" w:w="421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Explicit Cursor-native, cost-efficient binding after human approval; the pinned name is a declared drift surface.</w:t>
            </w:r>
          </w:p>
        </w:tc>
      </w:tr>
      <w:tr>
        <w:trPr>
          <w:trHeight w:hRule="auto"/>
        </w:trPr>
        <w:tc>
          <w:tcPr>
            <w:tcW w:type="dxa" w:w="23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Skeptical review</w:t>
            </w:r>
          </w:p>
        </w:tc>
        <w:tc>
          <w:tcPr>
            <w:tcW w:type="dxa" w:w="28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skeptical-reviewer: inherit + readonly</w:t>
            </w:r>
          </w:p>
        </w:tc>
        <w:tc>
          <w:tcPr>
            <w:tcW w:type="dxa" w:w="42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Fresh independent context with no edit access; correctness enforcement still belongs to CI and humans.</w:t>
            </w:r>
          </w:p>
        </w:tc>
      </w:tr>
    </w:tbl>
    <w:p>
      <w:pPr>
        <w:widowControl/>
        <w:spacing w:before="0" w:after="20"/>
      </w:pPr>
    </w:p>
    <w:p>
      <w:pPr>
        <w:keepLines/>
        <w:widowControl/>
      </w:pPr>
      <w:r>
        <w:rPr>
          <w:i w:val="0"/>
        </w:rPr>
        <w:t>Maya Chen (Staff Engineer) can change the one pinned model name in a reviewable git diff, and /update-rules checks it against the policy table. The frontmatter is a paved-road default. The admin model allowlist is the enforced boundary and may cause a compatible fallback.</w:t>
      </w:r>
    </w:p>
    <w:p>
      <w:pPr>
        <w:pStyle w:val="LeadCallout"/>
        <w:shd w:fill="F2F4F7"/>
        <w:pBdr>
          <w:left w:val="single" w:sz="18" w:space="7" w:color="8A6500"/>
        </w:pBdr>
        <w:keepLines/>
        <w:widowControl/>
      </w:pPr>
      <w:r>
        <w:rPr>
          <w:b/>
          <w:color w:val="8A6500"/>
        </w:rPr>
        <w:t xml:space="preserve">Wording guardrail  </w:t>
      </w:r>
      <w:r>
        <w:t>Until the fresh-window dry run confirms which Composer variant executes, say “Cursor-native, cost-efficient.” Do not call composer-2.5 “the fast tier.”</w:t>
      </w:r>
    </w:p>
    <w:p>
      <w:pPr>
        <w:pStyle w:val="Heading2"/>
        <w:keepNext/>
        <w:keepLines/>
        <w:widowControl/>
      </w:pPr>
      <w:r>
        <w:t>The five-tier enforcement ladder</w:t>
      </w:r>
    </w:p>
    <w:tbl>
      <w:tblPr>
        <w:tblStyle w:val="TableGrid"/>
        <w:tblW w:type="dxa" w:w="9360"/>
        <w:jc w:val="left"/>
        <w:tblLayout w:type="fixed"/>
        <w:tblLook w:firstColumn="1" w:firstRow="1" w:lastColumn="0" w:lastRow="0" w:noHBand="0" w:noVBand="1" w:val="04A0"/>
        <w:tblInd w:type="dxa" w:w="120"/>
      </w:tblPr>
      <w:tblGrid>
        <w:gridCol w:w="1350"/>
        <w:gridCol w:w="3100"/>
        <w:gridCol w:w="4910"/>
      </w:tblGrid>
      <w:tr>
        <w:trPr>
          <w:trHeight w:hRule="auto"/>
          <w:tblHeader w:val="true"/>
        </w:trPr>
        <w:tc>
          <w:tcPr>
            <w:tcW w:type="dxa" w:w="135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Tier</w:t>
            </w:r>
          </w:p>
        </w:tc>
        <w:tc>
          <w:tcPr>
            <w:tcW w:type="dxa" w:w="31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Mechanism</w:t>
            </w:r>
          </w:p>
        </w:tc>
        <w:tc>
          <w:tcPr>
            <w:tcW w:type="dxa" w:w="491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Authority and boundary</w:t>
            </w:r>
          </w:p>
        </w:tc>
      </w:tr>
      <w:tr>
        <w:trPr>
          <w:trHeight w:hRule="auto"/>
        </w:trPr>
        <w:tc>
          <w:tcPr>
            <w:tcW w:type="dxa" w:w="13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1 — Assistive</w:t>
            </w:r>
          </w:p>
        </w:tc>
        <w:tc>
          <w:tcPr>
            <w:tcW w:type="dxa" w:w="3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Rules and skills</w:t>
            </w:r>
          </w:p>
        </w:tc>
        <w:tc>
          <w:tcPr>
            <w:tcW w:type="dxa" w:w="49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Voluntary context; nothing prevents an engineer from working without them.</w:t>
            </w:r>
          </w:p>
        </w:tc>
      </w:tr>
      <w:tr>
        <w:trPr>
          <w:trHeight w:hRule="auto"/>
        </w:trPr>
        <w:tc>
          <w:tcPr>
            <w:tcW w:type="dxa" w:w="13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2 — Paved road</w:t>
            </w:r>
          </w:p>
        </w:tc>
        <w:tc>
          <w:tcPr>
            <w:tcW w:type="dxa" w:w="3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Commands and subagent frontmatter</w:t>
            </w:r>
          </w:p>
        </w:tc>
        <w:tc>
          <w:tcPr>
            <w:tcW w:type="dxa" w:w="491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Team standard and visible in git, but bypassable.</w:t>
            </w:r>
          </w:p>
        </w:tc>
      </w:tr>
      <w:tr>
        <w:trPr>
          <w:trHeight w:hRule="auto"/>
        </w:trPr>
        <w:tc>
          <w:tcPr>
            <w:tcW w:type="dxa" w:w="13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3 — Tool policy</w:t>
            </w:r>
          </w:p>
        </w:tc>
        <w:tc>
          <w:tcPr>
            <w:tcW w:type="dxa" w:w="3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Hooks, sandbox, model and MCP allowlists</w:t>
            </w:r>
          </w:p>
        </w:tc>
        <w:tc>
          <w:tcPr>
            <w:tcW w:type="dxa" w:w="49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Enforced after Acme approves the enterprise policy design.</w:t>
            </w:r>
          </w:p>
        </w:tc>
      </w:tr>
      <w:tr>
        <w:trPr>
          <w:trHeight w:hRule="auto"/>
        </w:trPr>
        <w:tc>
          <w:tcPr>
            <w:tcW w:type="dxa" w:w="13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4 — Deterministic</w:t>
            </w:r>
          </w:p>
        </w:tc>
        <w:tc>
          <w:tcPr>
            <w:tcW w:type="dxa" w:w="3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Format, analyzer, API, and focused-test CI gates</w:t>
            </w:r>
          </w:p>
        </w:tc>
        <w:tc>
          <w:tcPr>
            <w:tcW w:type="dxa" w:w="491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Non-negotiable machine checks; the proof gate is currently SQLite and task-specific.</w:t>
            </w:r>
          </w:p>
        </w:tc>
      </w:tr>
      <w:tr>
        <w:trPr>
          <w:trHeight w:hRule="auto"/>
        </w:trPr>
        <w:tc>
          <w:tcPr>
            <w:tcW w:type="dxa" w:w="13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5 — Independent review</w:t>
            </w:r>
          </w:p>
        </w:tc>
        <w:tc>
          <w:tcPr>
            <w:tcW w:type="dxa" w:w="3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Bugbot, human maintainer, and fresh skeptical reviewer</w:t>
            </w:r>
          </w:p>
        </w:tc>
        <w:tc>
          <w:tcPr>
            <w:tcW w:type="dxa" w:w="49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Distinct authorities: agentic review is advisory; human judgment and CI remain authoritative.</w:t>
            </w:r>
          </w:p>
        </w:tc>
      </w:tr>
    </w:tbl>
    <w:p>
      <w:pPr>
        <w:widowControl/>
        <w:spacing w:before="0" w:after="20"/>
      </w:pPr>
    </w:p>
    <w:p>
      <w:pPr>
        <w:keepLines/>
        <w:widowControl/>
      </w:pPr>
      <w:r>
        <w:rPr>
          <w:i w:val="0"/>
        </w:rPr>
        <w:t>Why this ladder matters: speed comes mainly from tiers 1–2; enterprise policy grows at tier 3; trust rests on tiers 4–5. Calling rules or subagent routing “enforced” collapses different controls and overclaims the product.</w:t>
      </w:r>
    </w:p>
    <w:p>
      <w:pPr>
        <w:pStyle w:val="Heading2"/>
        <w:keepNext/>
        <w:keepLines/>
        <w:widowControl/>
      </w:pPr>
      <w:r>
        <w:t>From wedge to software factory</w:t>
      </w:r>
    </w:p>
    <w:tbl>
      <w:tblPr>
        <w:tblStyle w:val="TableGrid"/>
        <w:tblW w:type="dxa" w:w="9360"/>
        <w:jc w:val="left"/>
        <w:tblLayout w:type="fixed"/>
        <w:tblLook w:firstColumn="1" w:firstRow="1" w:lastColumn="0" w:lastRow="0" w:noHBand="0" w:noVBand="1" w:val="04A0"/>
        <w:tblInd w:type="dxa" w:w="120"/>
      </w:tblPr>
      <w:tblGrid>
        <w:gridCol w:w="1950"/>
        <w:gridCol w:w="4100"/>
        <w:gridCol w:w="3310"/>
      </w:tblGrid>
      <w:tr>
        <w:trPr>
          <w:trHeight w:hRule="auto"/>
          <w:tblHeader w:val="true"/>
        </w:trPr>
        <w:tc>
          <w:tcPr>
            <w:tcW w:type="dxa" w:w="195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Stage</w:t>
            </w:r>
          </w:p>
        </w:tc>
        <w:tc>
          <w:tcPr>
            <w:tcW w:type="dxa" w:w="41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Operating model</w:t>
            </w:r>
          </w:p>
        </w:tc>
        <w:tc>
          <w:tcPr>
            <w:tcW w:type="dxa" w:w="331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Control that must hold</w:t>
            </w:r>
          </w:p>
        </w:tc>
      </w:tr>
      <w:tr>
        <w:trPr>
          <w:trHeight w:hRule="auto"/>
        </w:trPr>
        <w:tc>
          <w:tcPr>
            <w:tcW w:type="dxa" w:w="19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Pilot: repeatable</w:t>
            </w:r>
          </w:p>
        </w:tc>
        <w:tc>
          <w:tcPr>
            <w:tcW w:type="dxa" w:w="4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Human-gated commands, repository rules, subagents, CI, evidence capture</w:t>
            </w:r>
          </w:p>
        </w:tc>
        <w:tc>
          <w:tcPr>
            <w:tcW w:type="dxa" w:w="33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Approved plan, human review, deterministic CI</w:t>
            </w:r>
          </w:p>
        </w:tc>
      </w:tr>
      <w:tr>
        <w:trPr>
          <w:trHeight w:hRule="auto"/>
        </w:trPr>
        <w:tc>
          <w:tcPr>
            <w:tcW w:type="dxa" w:w="19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Connected: governed</w:t>
            </w:r>
          </w:p>
        </w:tc>
        <w:tc>
          <w:tcPr>
            <w:tcW w:type="dxa" w:w="4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MCP context, hooks, Bugbot, and Team Marketplace distribution</w:t>
            </w:r>
          </w:p>
        </w:tc>
        <w:tc>
          <w:tcPr>
            <w:tcW w:type="dxa" w:w="331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Least privilege, admin policy, Nina Alvarez (QA / Test Lead) and Marcus Webb (DevOps / Platform Owner) approval</w:t>
            </w:r>
          </w:p>
        </w:tc>
      </w:tr>
      <w:tr>
        <w:trPr>
          <w:trHeight w:hRule="auto"/>
        </w:trPr>
        <w:tc>
          <w:tcPr>
            <w:tcW w:type="dxa" w:w="19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Scaled: automated</w:t>
            </w:r>
          </w:p>
        </w:tc>
        <w:tc>
          <w:tcPr>
            <w:tcW w:type="dxa" w:w="4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Cloud agents execute bounded work; automation checks drift and refreshes evidence</w:t>
            </w:r>
          </w:p>
        </w:tc>
        <w:tc>
          <w:tcPr>
            <w:tcW w:type="dxa" w:w="331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7"/>
              </w:rPr>
              <w:t>Scoped environment and secrets, PR review, CI, Marcus Webb (DevOps / Platform Owner)-controlled deploy</w:t>
            </w:r>
          </w:p>
        </w:tc>
      </w:tr>
    </w:tbl>
    <w:p>
      <w:pPr>
        <w:widowControl/>
        <w:spacing w:before="0" w:after="20"/>
      </w:pPr>
    </w:p>
    <w:p>
      <w:pPr>
        <w:pStyle w:val="CommandBlock"/>
        <w:shd w:fill="F2F4F7"/>
        <w:pBdr>
          <w:left w:val="single" w:sz="10" w:space="6" w:color="5E6B75"/>
        </w:pBdr>
        <w:keepLines/>
        <w:widowControl/>
      </w:pPr>
      <w:r>
        <w:t>Ravi Shah (Product Manager)-approved backlog item</w:t>
        <w:br/>
        <w:t xml:space="preserve">        ↓</w:t>
        <w:br/>
        <w:t>bounded cloud-agent execution</w:t>
        <w:br/>
        <w:t xml:space="preserve">        ↓</w:t>
        <w:br/>
        <w:t>PR + Bugbot / Nina Alvarez (QA / Test Lead) review</w:t>
        <w:br/>
        <w:t xml:space="preserve">        ↓</w:t>
        <w:br/>
        <w:t>deterministic CI</w:t>
        <w:br/>
        <w:t xml:space="preserve">        ↓</w:t>
        <w:br/>
        <w:t>Marcus Webb (DevOps / Platform Owner)-controlled deployment</w:t>
        <w:br/>
        <w:t xml:space="preserve">        ↓</w:t>
        <w:br/>
        <w:t>automatic evidence capture</w:t>
      </w:r>
    </w:p>
    <w:p>
      <w:pPr>
        <w:keepLines/>
        <w:widowControl/>
      </w:pPr>
      <w:r>
        <w:rPr>
          <w:i w:val="0"/>
        </w:rPr>
        <w:t>Why: the onboarding wedge is Acme’s first governed production line, not the final factory. Every increase in autonomy is earned by the controls and ownership proven at the prior stage.</w:t>
      </w:r>
    </w:p>
    <w:p>
      <w:pPr>
        <w:pStyle w:val="Heading2"/>
        <w:keepNext/>
        <w:keepLines/>
        <w:widowControl/>
      </w:pPr>
      <w:r>
        <w:t>The security sentence to remember</w:t>
      </w:r>
    </w:p>
    <w:p>
      <w:pPr>
        <w:keepLines/>
        <w:widowControl/>
      </w:pPr>
      <w:r>
        <w:rPr>
          <w:i w:val="0"/>
        </w:rPr>
        <w:t>Rules are not security controls. Repository permissions, sandbox or policy boundaries, human approval, CI, and audit are the stronger protections.</w:t>
      </w:r>
    </w:p>
    <w:p>
      <w:pPr>
        <w:pStyle w:val="Heading2"/>
        <w:keepNext/>
        <w:keepLines/>
        <w:widowControl/>
      </w:pPr>
      <w:r>
        <w:t>Three enterprise ideas—then stop</w:t>
      </w:r>
    </w:p>
    <w:p>
      <w:pPr>
        <w:numPr>
          <w:ilvl w:val="0"/>
          <w:numId w:val="11"/>
        </w:numPr>
        <w:keepLines/>
        <w:widowControl/>
      </w:pPr>
      <w:r>
        <w:t>Govern the fragmentation: preserve model access while consolidating controls, spend policy, and telemetry.</w:t>
      </w:r>
    </w:p>
    <w:p>
      <w:pPr>
        <w:numPr>
          <w:ilvl w:val="0"/>
          <w:numId w:val="11"/>
        </w:numPr>
        <w:keepLines/>
        <w:widowControl/>
      </w:pPr>
      <w:r>
        <w:t>Scale the paved road: centralize universal governance while keeping repository workflows versioned and team-owned.</w:t>
      </w:r>
    </w:p>
    <w:p>
      <w:pPr>
        <w:numPr>
          <w:ilvl w:val="0"/>
          <w:numId w:val="11"/>
        </w:numPr>
        <w:keepLines/>
        <w:widowControl/>
      </w:pPr>
      <w:r>
        <w:t>Connect adoption to outcomes: Cursor telemetry shows exposure and workflow use; delivery systems show ramp, quality, and cycle time.</w:t>
      </w:r>
    </w:p>
    <w:p>
      <w:pPr>
        <w:keepLines/>
        <w:widowControl/>
      </w:pPr>
      <w:r>
        <w:rPr>
          <w:i w:val="0"/>
        </w:rPr>
        <w:t>Why: these are the executive-level differentiators. Product details such as SSO/SCIM, Privacy Mode, AI Share of Committed Code, Conversation Insights, allowlists, and Bugbot policy are Q&amp;A depth. When you cite Admin API, Conversation Insights, or org-wide enforcement, name the Enterprise-plan gate.</w:t>
      </w:r>
    </w:p>
    <w:p>
      <w:pPr>
        <w:pStyle w:val="Heading2"/>
        <w:keepNext/>
        <w:keepLines/>
        <w:widowControl/>
      </w:pPr>
      <w:r>
        <w:t>Competitive answer: Cursor vs. Codex or Claude Code</w:t>
      </w:r>
    </w:p>
    <w:p>
      <w:pPr>
        <w:keepLines/>
        <w:widowControl/>
      </w:pPr>
      <w:r>
        <w:rPr>
          <w:i w:val="0"/>
        </w:rPr>
        <w:t>Concede portability: the workflow layer is Markdown in Acme’s repository, and customer ownership is a feature. Then own the standard: governed workflow in version control, measured ramp and rework on real backlog work, transferable ownership, and telemetry leadership can audit. Cursor is the candidate Acme can evaluate immediately because the governed workflow and evidence mechanisms already exist.</w:t>
      </w:r>
    </w:p>
    <w:p>
      <w:pPr>
        <w:keepLines/>
        <w:widowControl/>
      </w:pPr>
      <w:r>
        <w:rPr>
          <w:i w:val="0"/>
        </w:rPr>
        <w:t>If useful, add one product line: Cursor preserves access to OpenAI, Anthropic, Gemini, xAI, and its own Composer models while consolidating governance, spend controls, and telemetry. Frame that as access preservation, not tool equivalence; another harness may still carry workflow value for its users.</w:t>
      </w:r>
    </w:p>
    <w:p>
      <w:pPr>
        <w:pStyle w:val="Heading1"/>
        <w:keepNext/>
        <w:keepLines/>
        <w:widowControl/>
      </w:pPr>
      <w:r>
        <w:t>7. The 45-minute working session</w:t>
      </w:r>
    </w:p>
    <w:p>
      <w:pPr>
        <w:pStyle w:val="LeadCallout"/>
        <w:shd w:fill="E8F4F2"/>
        <w:pBdr>
          <w:left w:val="single" w:sz="18" w:space="7" w:color="2E7D79"/>
        </w:pBdr>
        <w:keepLines/>
        <w:widowControl/>
      </w:pPr>
      <w:r>
        <w:rPr>
          <w:b/>
          <w:color w:val="2E7D79"/>
        </w:rPr>
        <w:t xml:space="preserve">Facilitation contract  </w:t>
      </w:r>
      <w:r>
        <w:t>Address interviewers by name, make their role explicit, ask for decisions only they can make, and visibly change the plan from at least one answer. Return to the agenda out loud after each discussion.</w:t>
      </w:r>
    </w:p>
    <w:p>
      <w:pPr>
        <w:pStyle w:val="Heading2"/>
        <w:keepNext/>
        <w:keepLines/>
        <w:widowControl/>
      </w:pPr>
      <w:r>
        <w:t>Use two surfaces deliberately</w:t>
      </w:r>
    </w:p>
    <w:p>
      <w:pPr>
        <w:keepLines/>
        <w:widowControl/>
      </w:pPr>
      <w:r>
        <w:rPr>
          <w:i w:val="0"/>
        </w:rPr>
        <w:t>Use the prepared 16:9 Excalidraw board for discovery and alignment, then Cursor for implementation, governance, review, and evidence. Keep the entire board in one viewport and share the entire screen so the transition does not interrupt screen sharing.</w:t>
      </w:r>
    </w:p>
    <w:p>
      <w:pPr>
        <w:numPr>
          <w:ilvl w:val="0"/>
          <w:numId w:val="10"/>
        </w:numPr>
        <w:keepLines/>
        <w:widowControl/>
      </w:pPr>
      <w:r>
        <w:t>Renewal proof: what must the executive sponsor see?</w:t>
      </w:r>
    </w:p>
    <w:p>
      <w:pPr>
        <w:numPr>
          <w:ilvl w:val="0"/>
          <w:numId w:val="10"/>
        </w:numPr>
        <w:keepLines/>
        <w:widowControl/>
      </w:pPr>
      <w:r>
        <w:t>Pilot change: which assumption, Finance frame, access dependency, or control changes the plan?</w:t>
      </w:r>
    </w:p>
    <w:p>
      <w:pPr>
        <w:numPr>
          <w:ilvl w:val="0"/>
          <w:numId w:val="10"/>
        </w:numPr>
        <w:keepLines/>
        <w:widowControl/>
      </w:pPr>
      <w:r>
        <w:t>Owner: who maintains the weekly artifact?</w:t>
      </w:r>
    </w:p>
    <w:p>
      <w:pPr>
        <w:numPr>
          <w:ilvl w:val="0"/>
          <w:numId w:val="10"/>
        </w:numPr>
        <w:keepLines/>
        <w:widowControl/>
      </w:pPr>
      <w:r>
        <w:t>Next move: what evidence bar and expansion target will govern the decision?</w:t>
      </w:r>
    </w:p>
    <w:p>
      <w:pPr>
        <w:keepLines/>
        <w:widowControl/>
      </w:pPr>
      <w:r>
        <w:rPr>
          <w:i w:val="0"/>
        </w:rPr>
        <w:t>Type the answers yourself in three-to-six-word phrases. Gray is prepared context, blue is confirmed live, amber is a changed assumption or risk, and green is an action with an owner. Empty cards at minute 18 mean your questions have not forced enough account judgment.</w:t>
      </w:r>
    </w:p>
    <w:p>
      <w:pPr>
        <w:keepLines/>
        <w:widowControl/>
      </w:pPr>
      <w:r>
        <w:rPr>
          <w:i w:val="0"/>
        </w:rPr>
        <w:t>Why: the board is evidence of visible thinking. A slightly rough board that changes is stronger than a perfect static diagram or asking interviewers to co-edit a link.</w:t>
      </w:r>
    </w:p>
    <w:tbl>
      <w:tblPr>
        <w:tblStyle w:val="TableGrid"/>
        <w:tblW w:type="dxa" w:w="9360"/>
        <w:jc w:val="left"/>
        <w:tblLayout w:type="fixed"/>
        <w:tblLook w:firstColumn="1" w:firstRow="1" w:lastColumn="0" w:lastRow="0" w:noHBand="0" w:noVBand="1" w:val="04A0"/>
        <w:tblInd w:type="dxa" w:w="120"/>
      </w:tblPr>
      <w:tblGrid>
        <w:gridCol w:w="1100"/>
        <w:gridCol w:w="2200"/>
        <w:gridCol w:w="3660"/>
        <w:gridCol w:w="2400"/>
      </w:tblGrid>
      <w:tr>
        <w:trPr>
          <w:trHeight w:hRule="auto"/>
          <w:tblHeader w:val="true"/>
        </w:trPr>
        <w:tc>
          <w:tcPr>
            <w:tcW w:type="dxa" w:w="11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Time</w:t>
            </w:r>
          </w:p>
        </w:tc>
        <w:tc>
          <w:tcPr>
            <w:tcW w:type="dxa" w:w="22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Move</w:t>
            </w:r>
          </w:p>
        </w:tc>
        <w:tc>
          <w:tcPr>
            <w:tcW w:type="dxa" w:w="366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What to land</w:t>
            </w:r>
          </w:p>
        </w:tc>
        <w:tc>
          <w:tcPr>
            <w:tcW w:type="dxa" w:w="2400"/>
            <w:vAlign w:val="center"/>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2" w:lineRule="auto"/>
            </w:pPr>
            <w:r/>
            <w:r>
              <w:rPr>
                <w:rFonts w:ascii="Calibri" w:hAnsi="Calibri"/>
                <w:b/>
                <w:color w:val="FFFFFF"/>
                <w:sz w:val="18"/>
              </w:rPr>
              <w:t>Why</w:t>
            </w:r>
          </w:p>
        </w:tc>
      </w:tr>
      <w:tr>
        <w:trPr>
          <w:trHeight w:hRule="auto"/>
        </w:trPr>
        <w:tc>
          <w:tcPr>
            <w:tcW w:type="dxa" w:w="1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0:00–3:00</w:t>
            </w:r>
          </w:p>
        </w:tc>
        <w:tc>
          <w:tcPr>
            <w:tcW w:type="dxa" w:w="22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Open contract and board</w:t>
            </w:r>
          </w:p>
        </w:tc>
        <w:tc>
          <w:tcPr>
            <w:tcW w:type="dxa" w:w="36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Role assignments; thesis; renewal-risk question entered live</w:t>
            </w:r>
          </w:p>
        </w:tc>
        <w:tc>
          <w:tcPr>
            <w:tcW w:type="dxa" w:w="24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Signals interaction and visible thinking immediately.</w:t>
            </w:r>
          </w:p>
        </w:tc>
      </w:tr>
      <w:tr>
        <w:trPr>
          <w:trHeight w:hRule="auto"/>
        </w:trPr>
        <w:tc>
          <w:tcPr>
            <w:tcW w:type="dxa" w:w="1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3:00–8:00</w:t>
            </w:r>
          </w:p>
        </w:tc>
        <w:tc>
          <w:tcPr>
            <w:tcW w:type="dxa" w:w="22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Validate and expose blockers</w:t>
            </w:r>
          </w:p>
        </w:tc>
        <w:tc>
          <w:tcPr>
            <w:tcW w:type="dxa" w:w="36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Three decisions, assumptions, Finance frame, access dependency</w:t>
            </w:r>
          </w:p>
        </w:tc>
        <w:tc>
          <w:tcPr>
            <w:tcW w:type="dxa" w:w="24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Creates the shared frame and gives the demo something real to change.</w:t>
            </w:r>
          </w:p>
        </w:tc>
      </w:tr>
      <w:tr>
        <w:trPr>
          <w:trHeight w:hRule="auto"/>
        </w:trPr>
        <w:tc>
          <w:tcPr>
            <w:tcW w:type="dxa" w:w="1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8:00–18:00</w:t>
            </w:r>
          </w:p>
        </w:tc>
        <w:tc>
          <w:tcPr>
            <w:tcW w:type="dxa" w:w="22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Co-build on the artifact</w:t>
            </w:r>
          </w:p>
        </w:tc>
        <w:tc>
          <w:tcPr>
            <w:tcW w:type="dxa" w:w="36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Capability map, model policy, pilot command revised live, approval stop</w:t>
            </w:r>
          </w:p>
        </w:tc>
        <w:tc>
          <w:tcPr>
            <w:tcW w:type="dxa" w:w="24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Corrects screen gaps and proves account input changes the plan.</w:t>
            </w:r>
          </w:p>
        </w:tc>
      </w:tr>
      <w:tr>
        <w:trPr>
          <w:trHeight w:hRule="auto"/>
        </w:trPr>
        <w:tc>
          <w:tcPr>
            <w:tcW w:type="dxa" w:w="1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18:00–27:00</w:t>
            </w:r>
          </w:p>
        </w:tc>
        <w:tc>
          <w:tcPr>
            <w:tcW w:type="dxa" w:w="22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Operating loop and ownership</w:t>
            </w:r>
          </w:p>
        </w:tc>
        <w:tc>
          <w:tcPr>
            <w:tcW w:type="dxa" w:w="36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Named artifact owners, three sessions, planned SA exit, second-user test</w:t>
            </w:r>
          </w:p>
        </w:tc>
        <w:tc>
          <w:tcPr>
            <w:tcW w:type="dxa" w:w="24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Turns a technical artifact into a cross-functional operating system.</w:t>
            </w:r>
          </w:p>
        </w:tc>
      </w:tr>
      <w:tr>
        <w:trPr>
          <w:trHeight w:hRule="auto"/>
        </w:trPr>
        <w:tc>
          <w:tcPr>
            <w:tcW w:type="dxa" w:w="1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27:00–34:00</w:t>
            </w:r>
          </w:p>
        </w:tc>
        <w:tc>
          <w:tcPr>
            <w:tcW w:type="dxa" w:w="22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Software-factory progression</w:t>
            </w:r>
          </w:p>
        </w:tc>
        <w:tc>
          <w:tcPr>
            <w:tcW w:type="dxa" w:w="36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Repeatable → connected → automated, with controls at each stage</w:t>
            </w:r>
          </w:p>
        </w:tc>
        <w:tc>
          <w:tcPr>
            <w:tcW w:type="dxa" w:w="24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Connects the onboarding wedge to the handout’s automation objective.</w:t>
            </w:r>
          </w:p>
        </w:tc>
      </w:tr>
      <w:tr>
        <w:trPr>
          <w:trHeight w:hRule="auto"/>
        </w:trPr>
        <w:tc>
          <w:tcPr>
            <w:tcW w:type="dxa" w:w="1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34:00–40:00</w:t>
            </w:r>
          </w:p>
        </w:tc>
        <w:tc>
          <w:tcPr>
            <w:tcW w:type="dxa" w:w="22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Renewal-defense readout</w:t>
            </w:r>
          </w:p>
        </w:tc>
        <w:tc>
          <w:tcPr>
            <w:tcW w:type="dxa" w:w="36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Definitions, sources, owners, labels, worst-case renewal inventory</w:t>
            </w:r>
          </w:p>
        </w:tc>
        <w:tc>
          <w:tcPr>
            <w:tcW w:type="dxa" w:w="24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Connects technical work to a defensible multi-year decision.</w:t>
            </w:r>
          </w:p>
        </w:tc>
      </w:tr>
      <w:tr>
        <w:trPr>
          <w:trHeight w:hRule="auto"/>
        </w:trPr>
        <w:tc>
          <w:tcPr>
            <w:tcW w:type="dxa" w:w="1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40:00–44:00</w:t>
            </w:r>
          </w:p>
        </w:tc>
        <w:tc>
          <w:tcPr>
            <w:tcW w:type="dxa" w:w="22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Leadership asks and commitments</w:t>
            </w:r>
          </w:p>
        </w:tc>
        <w:tc>
          <w:tcPr>
            <w:tcW w:type="dxa" w:w="366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Product, executive, and GTM asks; internal owner model</w:t>
            </w:r>
          </w:p>
        </w:tc>
        <w:tc>
          <w:tcPr>
            <w:tcW w:type="dxa" w:w="24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Shows that you can mobilize Cursor without creating vague work.</w:t>
            </w:r>
          </w:p>
        </w:tc>
      </w:tr>
      <w:tr>
        <w:trPr>
          <w:trHeight w:hRule="auto"/>
        </w:trPr>
        <w:tc>
          <w:tcPr>
            <w:tcW w:type="dxa" w:w="1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44:00–45:00</w:t>
            </w:r>
          </w:p>
        </w:tc>
        <w:tc>
          <w:tcPr>
            <w:tcW w:type="dxa" w:w="22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Close</w:t>
            </w:r>
          </w:p>
        </w:tc>
        <w:tc>
          <w:tcPr>
            <w:tcW w:type="dxa" w:w="366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No promised 3× result; controlled test; next baseline action</w:t>
            </w:r>
          </w:p>
        </w:tc>
        <w:tc>
          <w:tcPr>
            <w:tcW w:type="dxa" w:w="24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100" w:type="dxa"/>
              <w:bottom w:w="100" w:type="dxa"/>
              <w:start w:w="120" w:type="dxa"/>
              <w:end w:w="120" w:type="dxa"/>
            </w:tcMar>
          </w:tcPr>
          <w:p>
            <w:pPr>
              <w:widowControl/>
              <w:spacing w:before="0" w:after="0" w:line="259" w:lineRule="auto"/>
            </w:pPr>
            <w:r/>
            <w:r>
              <w:rPr>
                <w:rFonts w:ascii="Calibri" w:hAnsi="Calibri"/>
                <w:color w:val="1D2730"/>
                <w:sz w:val="16"/>
              </w:rPr>
              <w:t>Ends with a decision and specific next step.</w:t>
            </w:r>
          </w:p>
        </w:tc>
      </w:tr>
    </w:tbl>
    <w:p>
      <w:pPr>
        <w:widowControl/>
        <w:spacing w:before="0" w:after="20"/>
      </w:pPr>
    </w:p>
    <w:p>
      <w:pPr>
        <w:pStyle w:val="Heading2"/>
        <w:keepNext/>
        <w:keepLines/>
        <w:widowControl/>
      </w:pPr>
      <w:r>
        <w:t>Opening words to rehearse</w:t>
      </w:r>
    </w:p>
    <w:p>
      <w:pPr>
        <w:pStyle w:val="CommandBlock"/>
        <w:shd w:fill="F2F4F7"/>
        <w:pBdr>
          <w:left w:val="single" w:sz="10" w:space="6" w:color="5E6B75"/>
        </w:pBdr>
        <w:keepLines/>
        <w:widowControl/>
      </w:pPr>
      <w:r>
        <w:t>“Thanks for the kickoff. I’m going to run this as our Acme account-team working session, not as a customer presentation. I’ll make assumptions visible, ask you for the account judgment only you have, and leave with decisions and owners.</w:t>
        <w:br/>
        <w:br/>
        <w:t>My working thesis is that this is a standardization-and-proof problem, not primarily a seat problem. We can use the 12-person high-adoption team to test whether a governed workflow moves first meaningful PR from six weeks toward two without increasing rework.”</w:t>
      </w:r>
    </w:p>
    <w:p>
      <w:pPr>
        <w:pStyle w:val="Heading2"/>
        <w:keepNext/>
        <w:keepLines/>
        <w:widowControl/>
      </w:pPr>
      <w:r>
        <w:t>Your first question</w:t>
      </w:r>
    </w:p>
    <w:p>
      <w:pPr>
        <w:keepLines/>
        <w:widowControl/>
      </w:pPr>
      <w:r>
        <w:rPr>
          <w:i w:val="0"/>
        </w:rPr>
        <w:t>Ask the ADM: “Before I lock that path, what is the most important renewal risk I have missed, and what would Priya Nair (Director of Engineering) have to see to repeat this story herself?”</w:t>
      </w:r>
    </w:p>
    <w:p>
      <w:pPr>
        <w:keepLines/>
        <w:widowControl/>
      </w:pPr>
      <w:r>
        <w:rPr>
          <w:i w:val="0"/>
        </w:rPr>
        <w:t>Why: it invites account context before you overcommit, tests the executive evidence threshold, and makes the interviewer a co-owner of the plan.</w:t>
      </w:r>
    </w:p>
    <w:p>
      <w:pPr>
        <w:pStyle w:val="Heading2"/>
        <w:keepNext/>
        <w:keepLines/>
        <w:widowControl/>
      </w:pPr>
      <w:r>
        <w:t>High-value questions by role</w:t>
      </w:r>
    </w:p>
    <w:p>
      <w:pPr>
        <w:numPr>
          <w:ilvl w:val="0"/>
          <w:numId w:val="10"/>
        </w:numPr>
        <w:keepLines/>
        <w:widowControl/>
      </w:pPr>
      <w:r>
        <w:t>ADM: Which artifact is most useful in a weekly account update—the evidence ledger, risk/decision log, or champion-quote capture?</w:t>
      </w:r>
    </w:p>
    <w:p>
      <w:pPr>
        <w:numPr>
          <w:ilvl w:val="0"/>
          <w:numId w:val="10"/>
        </w:numPr>
        <w:keepLines/>
        <w:widowControl/>
      </w:pPr>
      <w:r>
        <w:t>AE/RD: Is Finance making a price decision, a standardization decision, or both?</w:t>
      </w:r>
    </w:p>
    <w:p>
      <w:pPr>
        <w:numPr>
          <w:ilvl w:val="0"/>
          <w:numId w:val="10"/>
        </w:numPr>
        <w:keepLines/>
        <w:widowControl/>
      </w:pPr>
      <w:r>
        <w:t>FE: Which data or access dependency is most likely to block this in Acme’s environment?</w:t>
      </w:r>
    </w:p>
    <w:p>
      <w:pPr>
        <w:numPr>
          <w:ilvl w:val="0"/>
          <w:numId w:val="10"/>
        </w:numPr>
        <w:keepLines/>
        <w:widowControl/>
      </w:pPr>
      <w:r>
        <w:t>ADM: Where would you want a checkpoint rather than a status report?</w:t>
      </w:r>
    </w:p>
    <w:p>
      <w:pPr>
        <w:numPr>
          <w:ilvl w:val="0"/>
          <w:numId w:val="10"/>
        </w:numPr>
        <w:keepLines/>
        <w:widowControl/>
      </w:pPr>
      <w:r>
        <w:t>FE: What would you require before enabling MCP, hooks, Bugbot, or a cloud agent?</w:t>
      </w:r>
    </w:p>
    <w:p>
      <w:pPr>
        <w:numPr>
          <w:ilvl w:val="0"/>
          <w:numId w:val="10"/>
        </w:numPr>
        <w:keepLines/>
        <w:widowControl/>
      </w:pPr>
      <w:r>
        <w:t>RD: What makes this repeatable enough to matter commercially?</w:t>
      </w:r>
    </w:p>
    <w:p>
      <w:pPr>
        <w:numPr>
          <w:ilvl w:val="0"/>
          <w:numId w:val="10"/>
        </w:numPr>
        <w:keepLines/>
        <w:widowControl/>
      </w:pPr>
      <w:r>
        <w:t>RD: Which scale step makes the wedge commercially repeatable, and which should wait for the second-team result?</w:t>
      </w:r>
    </w:p>
    <w:p>
      <w:pPr>
        <w:numPr>
          <w:ilvl w:val="0"/>
          <w:numId w:val="10"/>
        </w:numPr>
        <w:keepLines/>
        <w:widowControl/>
      </w:pPr>
      <w:r>
        <w:t>RD: Is this evidence threshold strong enough for a multi-year renewal? If not, which commercial objection remains untested?</w:t>
      </w:r>
    </w:p>
    <w:p>
      <w:pPr>
        <w:pStyle w:val="Heading2"/>
        <w:keepNext/>
        <w:keepLines/>
        <w:widowControl/>
      </w:pPr>
      <w:r>
        <w:t>When personas disagree</w:t>
      </w:r>
    </w:p>
    <w:p>
      <w:pPr>
        <w:keepLines/>
        <w:widowControl/>
      </w:pPr>
      <w:r>
        <w:rPr>
          <w:i w:val="0"/>
        </w:rPr>
        <w:t>Name the tension and arbitrate it. Example: “The RD is asking for speed, while the FE is protecting evidence rigor. I would preserve the controls, shorten the initial scope, and bring an earlier midpoint signal rather than weaken the gate.”</w:t>
      </w:r>
    </w:p>
    <w:p>
      <w:pPr>
        <w:keepLines/>
        <w:widowControl/>
      </w:pPr>
      <w:r>
        <w:rPr>
          <w:i w:val="0"/>
        </w:rPr>
        <w:t>Why: resolving competing objectives is central SA work. Simply agreeing with the last speaker hides the tradeoff.</w:t>
      </w:r>
    </w:p>
    <w:p>
      <w:pPr>
        <w:pStyle w:val="Heading2"/>
        <w:keepNext/>
        <w:keepLines/>
        <w:widowControl/>
      </w:pPr>
      <w:r>
        <w:t>If time slips</w:t>
      </w:r>
    </w:p>
    <w:p>
      <w:pPr>
        <w:keepLines/>
        <w:widowControl/>
      </w:pPr>
      <w:r>
        <w:rPr>
          <w:i w:val="0"/>
        </w:rPr>
        <w:t>Cut technical implementation detail, extra examples, the feature tour, and the full 90-day calendar.</w:t>
      </w:r>
    </w:p>
    <w:p>
      <w:pPr>
        <w:keepLines/>
        <w:widowControl/>
      </w:pPr>
      <w:r>
        <w:rPr>
          <w:i w:val="0"/>
        </w:rPr>
        <w:t>Never cut the capability map, one-breath model policy, assumptions, champion logic, metric definitions, quality guardrail, teach-back, internal owners, or honest evidence labels.</w:t>
      </w:r>
    </w:p>
    <w:p>
      <w:pPr>
        <w:keepLines/>
        <w:widowControl/>
      </w:pPr>
      <w:r>
        <w:rPr>
          <w:i w:val="0"/>
        </w:rPr>
        <w:t>At session minute 16, stop the demo wherever it stands. Name the remaining commands in one line each and move to the operating loop. Do not buy demo minutes back by speaking faster.</w:t>
      </w:r>
    </w:p>
    <w:p>
      <w:pPr>
        <w:pStyle w:val="Heading1"/>
        <w:keepNext/>
        <w:keepLines/>
        <w:widowControl/>
      </w:pPr>
      <w:r>
        <w:t>8. The 8–10 minute technical proof</w:t>
      </w:r>
    </w:p>
    <w:p>
      <w:pPr>
        <w:pStyle w:val="LeadCallout"/>
        <w:shd w:fill="E8F1F7"/>
        <w:pBdr>
          <w:left w:val="single" w:sz="18" w:space="7" w:color="2E74B5"/>
        </w:pBdr>
        <w:keepLines/>
        <w:widowControl/>
      </w:pPr>
      <w:r>
        <w:rPr>
          <w:b/>
          <w:color w:val="2E74B5"/>
        </w:rPr>
        <w:t xml:space="preserve">Purpose  </w:t>
      </w:r>
      <w:r>
        <w:t>Prove that the technical-screen artifact has become an engagement system. Do not rerun the translator demo or present fictional pilot results.</w:t>
      </w:r>
    </w:p>
    <w:p>
      <w:pPr>
        <w:pStyle w:val="Heading2"/>
        <w:keepNext/>
        <w:keepLines/>
        <w:widowControl/>
      </w:pPr>
      <w:r>
        <w:t>Setup</w:t>
      </w:r>
    </w:p>
    <w:p>
      <w:pPr>
        <w:numPr>
          <w:ilvl w:val="0"/>
          <w:numId w:val="10"/>
        </w:numPr>
        <w:keepLines/>
        <w:widowControl/>
      </w:pPr>
      <w:r>
        <w:t>Open the repository on demo-19287-sqlite-indexof.</w:t>
      </w:r>
    </w:p>
    <w:p>
      <w:pPr>
        <w:numPr>
          <w:ilvl w:val="0"/>
          <w:numId w:val="10"/>
        </w:numPr>
        <w:keepLines/>
        <w:widowControl/>
      </w:pPr>
      <w:r>
        <w:t>Start at .cursor/README.md in a fresh Agent conversation.</w:t>
      </w:r>
    </w:p>
    <w:p>
      <w:pPr>
        <w:numPr>
          <w:ilvl w:val="0"/>
          <w:numId w:val="10"/>
        </w:numPr>
        <w:keepLines/>
        <w:widowControl/>
      </w:pPr>
      <w:r>
        <w:t>Keep the existing PR and green test reachable as supporting evidence.</w:t>
      </w:r>
    </w:p>
    <w:p>
      <w:pPr>
        <w:numPr>
          <w:ilvl w:val="0"/>
          <w:numId w:val="10"/>
        </w:numPr>
        <w:keepLines/>
        <w:widowControl/>
      </w:pPr>
      <w:r>
        <w:t>Keep the pre-generated metrics dashboard ready as Q&amp;A evidence; the live miner is not in the default path.</w:t>
      </w:r>
    </w:p>
    <w:p>
      <w:pPr>
        <w:pStyle w:val="Heading2"/>
        <w:keepNext/>
        <w:keepLines/>
        <w:widowControl/>
      </w:pPr>
      <w:r>
        <w:t>Lead with architecture for 90 seconds</w:t>
      </w:r>
    </w:p>
    <w:p>
      <w:pPr>
        <w:numPr>
          <w:ilvl w:val="0"/>
          <w:numId w:val="11"/>
        </w:numPr>
        <w:keepLines/>
        <w:widowControl/>
      </w:pPr>
      <w:r>
        <w:t>Walk the four-line account-risk capability map before invoking any command.</w:t>
      </w:r>
    </w:p>
    <w:p>
      <w:pPr>
        <w:numPr>
          <w:ilvl w:val="0"/>
          <w:numId w:val="11"/>
        </w:numPr>
        <w:keepLines/>
        <w:widowControl/>
      </w:pPr>
      <w:r>
        <w:t>State the one-breath model policy and identify the admin model allowlist as the enforced boundary.</w:t>
      </w:r>
    </w:p>
    <w:p>
      <w:pPr>
        <w:numPr>
          <w:ilvl w:val="0"/>
          <w:numId w:val="11"/>
        </w:numPr>
        <w:keepLines/>
        <w:widowControl/>
      </w:pPr>
      <w:r>
        <w:t>Open the three .cursor/agents files and point only to model and readonly frontmatter.</w:t>
      </w:r>
    </w:p>
    <w:p>
      <w:pPr>
        <w:numPr>
          <w:ilvl w:val="0"/>
          <w:numId w:val="11"/>
        </w:numPr>
        <w:keepLines/>
        <w:widowControl/>
      </w:pPr>
      <w:r>
        <w:t>Explain that Maya Chen (Staff Engineer) owns the one-line model-pin change and /update-rules checks it against the policy table.</w:t>
      </w:r>
    </w:p>
    <w:p>
      <w:pPr>
        <w:numPr>
          <w:ilvl w:val="0"/>
          <w:numId w:val="11"/>
        </w:numPr>
        <w:keepLines/>
        <w:widowControl/>
      </w:pPr>
      <w:r>
        <w:t>Close by calling this Acme’s first governed production line, not the whole software factory.</w:t>
      </w:r>
    </w:p>
    <w:p>
      <w:pPr>
        <w:keepLines/>
        <w:widowControl/>
      </w:pPr>
      <w:r>
        <w:rPr>
          <w:i w:val="0"/>
        </w:rPr>
        <w:t>If pressed on MCP, custom modes, or cloud agents, open .cursor/staged/: a read-only GitHub MCP config, a restricted new-joiner mode specification, and a drift-automation specification are committed but inert, each with a named gate and owner.</w:t>
      </w:r>
    </w:p>
    <w:p>
      <w:pPr>
        <w:pStyle w:val="LeadCallout"/>
        <w:shd w:fill="F2F4F7"/>
        <w:pBdr>
          <w:left w:val="single" w:sz="18" w:space="7" w:color="8A6500"/>
        </w:pBdr>
        <w:keepLines/>
        <w:widowControl/>
      </w:pPr>
      <w:r>
        <w:rPr>
          <w:b/>
          <w:color w:val="8A6500"/>
        </w:rPr>
        <w:t xml:space="preserve">Do-first dependency  </w:t>
      </w:r>
      <w:r>
        <w:t>The subagents are committed but still marked untested in-product. Dry-run planner dispatch, the approval stop, skeptical-reviewer delegation, and composer-2.5 resolution before rehearsing any model wording. If dispatch fails, use the documented inline fallback and say so.</w:t>
      </w:r>
    </w:p>
    <w:p>
      <w:pPr>
        <w:pStyle w:val="Heading2"/>
        <w:keepNext/>
        <w:keepLines/>
        <w:widowControl/>
      </w:pPr>
      <w:r>
        <w:t>Exact pilot command input</w:t>
      </w:r>
    </w:p>
    <w:p>
      <w:pPr>
        <w:pStyle w:val="CommandBlock"/>
        <w:shd w:fill="F2F4F7"/>
        <w:pBdr>
          <w:left w:val="single" w:sz="10" w:space="6" w:color="5E6B75"/>
        </w:pBdr>
        <w:keepLines/>
        <w:widowControl/>
      </w:pPr>
      <w:r>
        <w:t>/start-onboarding-pilot Acme internal-library onboarding. Target team: 12 engineers with high Cursor use. Baseline: about 6 weeks to first meaningful PR. Renewal: about 90 days. Proposed cohort: 3 new joiners in the next 30 days; if unavailable, use cold-module engineers as a labeled proxy. Stakeholders: David Park (Engineering Manager), Maya Chen (Staff Engineer), Nina Alvarez (QA / Test Lead), Marcus Webb (DevOps / Platform Owner), Ravi Shah (Product Manager), Priya Nair (Director of Engineering). Target: test whether the workflow can move ramp toward 2 weeks without increasing material PR rework. Use the current repository as the SDK stand-in. Plan only and stop for approval.</w:t>
      </w:r>
    </w:p>
    <w:p>
      <w:pPr>
        <w:pStyle w:val="Heading2"/>
        <w:keepNext/>
        <w:keepLines/>
        <w:widowControl/>
      </w:pPr>
      <w:r>
        <w:t>Review only five things</w:t>
      </w:r>
    </w:p>
    <w:p>
      <w:pPr>
        <w:numPr>
          <w:ilvl w:val="0"/>
          <w:numId w:val="11"/>
        </w:numPr>
        <w:keepLines/>
        <w:widowControl/>
      </w:pPr>
      <w:r>
        <w:t>The target is not presented as a promised result.</w:t>
      </w:r>
    </w:p>
    <w:p>
      <w:pPr>
        <w:numPr>
          <w:ilvl w:val="0"/>
          <w:numId w:val="11"/>
        </w:numPr>
        <w:keepLines/>
        <w:widowControl/>
      </w:pPr>
      <w:r>
        <w:t>The meaningful-PR definition and cohort are explicit approval decisions.</w:t>
      </w:r>
    </w:p>
    <w:p>
      <w:pPr>
        <w:numPr>
          <w:ilvl w:val="0"/>
          <w:numId w:val="11"/>
        </w:numPr>
        <w:keepLines/>
        <w:widowControl/>
      </w:pPr>
      <w:r>
        <w:t>David Park (Engineering Manager), Maya Chen (Staff Engineer), Nina Alvarez (QA / Test Lead), Marcus Webb (DevOps / Platform Owner), and Ravi Shah (Product Manager) have distinct ownership.</w:t>
      </w:r>
    </w:p>
    <w:p>
      <w:pPr>
        <w:numPr>
          <w:ilvl w:val="0"/>
          <w:numId w:val="11"/>
        </w:numPr>
        <w:keepLines/>
        <w:widowControl/>
      </w:pPr>
      <w:r>
        <w:t>The primary measures cover speed, quality, and SDLC reach.</w:t>
      </w:r>
    </w:p>
    <w:p>
      <w:pPr>
        <w:numPr>
          <w:ilvl w:val="0"/>
          <w:numId w:val="11"/>
        </w:numPr>
        <w:keepLines/>
        <w:widowControl/>
      </w:pPr>
      <w:r>
        <w:t>The command stops before creating files or changing the workflow.</w:t>
      </w:r>
    </w:p>
    <w:p>
      <w:pPr>
        <w:pStyle w:val="Heading2"/>
        <w:keepNext/>
        <w:keepLines/>
        <w:widowControl/>
      </w:pPr>
      <w:r>
        <w:t>The approval-pattern sentence</w:t>
      </w:r>
    </w:p>
    <w:p>
      <w:pPr>
        <w:pStyle w:val="CommandBlock"/>
        <w:shd w:fill="F2F4F7"/>
        <w:pBdr>
          <w:left w:val="single" w:sz="10" w:space="6" w:color="5E6B75"/>
        </w:pBdr>
        <w:keepLines/>
        <w:widowControl/>
      </w:pPr>
      <w:r>
        <w:t>“This is the same approval pattern from the technical screen, moved one level up. The customer approves the outcome, cohort, controls, and evidence contract before we optimize anything.”</w:t>
      </w:r>
    </w:p>
    <w:p>
      <w:pPr>
        <w:pStyle w:val="Heading2"/>
        <w:keepNext/>
        <w:keepLines/>
        <w:widowControl/>
      </w:pPr>
      <w:r>
        <w:t>Show the workflow underneath—do not rerun it all</w:t>
      </w:r>
    </w:p>
    <w:p>
      <w:pPr>
        <w:numPr>
          <w:ilvl w:val="0"/>
          <w:numId w:val="10"/>
        </w:numPr>
        <w:keepLines/>
        <w:widowControl/>
      </w:pPr>
      <w:r>
        <w:t>/scope-issue — product intent becomes a contribution-ready issue.</w:t>
      </w:r>
    </w:p>
    <w:p>
      <w:pPr>
        <w:numPr>
          <w:ilvl w:val="0"/>
          <w:numId w:val="10"/>
        </w:numPr>
        <w:keepLines/>
        <w:widowControl/>
      </w:pPr>
      <w:r>
        <w:t>/first-contribution — the new joiner follows a grounded plan and approval gate.</w:t>
      </w:r>
    </w:p>
    <w:p>
      <w:pPr>
        <w:numPr>
          <w:ilvl w:val="0"/>
          <w:numId w:val="10"/>
        </w:numPr>
        <w:keepLines/>
        <w:widowControl/>
      </w:pPr>
      <w:r>
        <w:t>/pre-review — QA and maintainers receive a skeptical, read-only check.</w:t>
      </w:r>
    </w:p>
    <w:p>
      <w:pPr>
        <w:numPr>
          <w:ilvl w:val="0"/>
          <w:numId w:val="10"/>
        </w:numPr>
        <w:keepLines/>
        <w:widowControl/>
      </w:pPr>
      <w:r>
        <w:t>Fork CI — deterministic format, analyzer, API, and focused test gates.</w:t>
      </w:r>
    </w:p>
    <w:p>
      <w:pPr>
        <w:numPr>
          <w:ilvl w:val="0"/>
          <w:numId w:val="10"/>
        </w:numPr>
        <w:keepLines/>
        <w:widowControl/>
      </w:pPr>
      <w:r>
        <w:t>/renewal-evidence — audits only comparable evidence and recommends expand, iterate, or stop.</w:t>
      </w:r>
    </w:p>
    <w:p>
      <w:pPr>
        <w:pStyle w:val="Heading2"/>
        <w:keepNext/>
        <w:keepLines/>
        <w:widowControl/>
      </w:pPr>
      <w:r>
        <w:t>The proof boundary</w:t>
      </w:r>
    </w:p>
    <w:p>
      <w:pPr>
        <w:pStyle w:val="CommandBlock"/>
        <w:shd w:fill="F2F4F7"/>
        <w:pBdr>
          <w:left w:val="single" w:sz="10" w:space="6" w:color="5E6B75"/>
        </w:pBdr>
        <w:keepLines/>
        <w:widowControl/>
      </w:pPr>
      <w:r>
        <w:t>issue → plan approval → diff/test/SQL → skeptical finding → fix → green CI</w:t>
      </w:r>
    </w:p>
    <w:p>
      <w:pPr>
        <w:keepLines/>
        <w:widowControl/>
      </w:pPr>
      <w:r>
        <w:rPr>
          <w:i w:val="0"/>
        </w:rPr>
        <w:t>Say: “That run proves the engineering workflow can work on this repository. It does not prove Acme’s ramp improved. The pilot and evidence contract are how we earn that second claim.”</w:t>
      </w:r>
    </w:p>
    <w:p>
      <w:pPr>
        <w:keepLines/>
        <w:widowControl/>
      </w:pPr>
      <w:r>
        <w:rPr>
          <w:i w:val="0"/>
        </w:rPr>
        <w:t>Why: this is the most important credibility distinction in the demo. A technical success is evidence of feasibility, not evidence of customer business impact.</w:t>
      </w:r>
    </w:p>
    <w:p>
      <w:pPr>
        <w:pStyle w:val="Heading2"/>
        <w:keepNext/>
        <w:keepLines/>
        <w:widowControl/>
      </w:pPr>
      <w:r>
        <w:t>Historical-baseline evidence—Q&amp;A only</w:t>
      </w:r>
    </w:p>
    <w:p>
      <w:pPr>
        <w:pStyle w:val="CommandBlock"/>
        <w:shd w:fill="F2F4F7"/>
        <w:pBdr>
          <w:left w:val="single" w:sz="10" w:space="6" w:color="5E6B75"/>
        </w:pBdr>
        <w:keepLines/>
        <w:widowControl/>
      </w:pPr>
      <w:r>
        <w:t>python3 tools/onboarding-metrics/ramp_metrics.py --repo dotnet/efcore --authors JoasE,cincuranet --max-review-prs 5 --stdout</w:t>
      </w:r>
    </w:p>
    <w:p>
      <w:pPr>
        <w:keepLines/>
        <w:widowControl/>
      </w:pPr>
      <w:r>
        <w:rPr>
          <w:i w:val="0"/>
        </w:rPr>
        <w:t>Do not spend default demo time running this. If evidence rigor is challenged, open the committed dashboard: one usable historical observation is 11 days; another is suppressed as TRUNCATED because the sample cannot see the true first PR. Never call an n=1 observation a cohort median.</w:t>
      </w:r>
    </w:p>
    <w:p>
      <w:pPr>
        <w:keepLines/>
        <w:widowControl/>
      </w:pPr>
      <w:r>
        <w:rPr>
          <w:i w:val="0"/>
        </w:rPr>
        <w:t>Why this is a strong demo beat: the tool’s refusal to make an unsupported claim demonstrates the evidence discipline the renewal story requires.</w:t>
      </w:r>
    </w:p>
    <w:p>
      <w:pPr>
        <w:pStyle w:val="Heading2"/>
        <w:keepNext/>
        <w:keepLines/>
        <w:widowControl/>
      </w:pPr>
      <w:r>
        <w:t>Recovery language</w:t>
      </w:r>
    </w:p>
    <w:p>
      <w:pPr>
        <w:keepLines/>
        <w:widowControl/>
      </w:pPr>
      <w:r>
        <w:rPr>
          <w:i w:val="0"/>
        </w:rPr>
        <w:t>If generation is slow: “The planning run is still grounding itself in the repository. I do not want the account session to become a progress indicator, so I’ll continue with the command contract and the already verified engineering workflow. I am not presenting a generated pilot result.”</w:t>
      </w:r>
    </w:p>
    <w:p>
      <w:pPr>
        <w:keepLines/>
        <w:widowControl/>
      </w:pPr>
      <w:r>
        <w:rPr>
          <w:i w:val="0"/>
        </w:rPr>
        <w:t>If commands are not discovered: confirm .cursor/commands, start a fresh Agent conversation or reload, then open the command file directly and ask Agent to follow it. State the fallback honestly.</w:t>
      </w:r>
    </w:p>
    <w:p>
      <w:pPr>
        <w:pStyle w:val="Heading1"/>
        <w:keepNext/>
        <w:keepLines/>
        <w:widowControl/>
      </w:pPr>
      <w:r>
        <w:t>9. Pushback and answer patterns</w:t>
      </w:r>
    </w:p>
    <w:p>
      <w:pPr>
        <w:pStyle w:val="LeadCallout"/>
        <w:shd w:fill="E8F4F2"/>
        <w:pBdr>
          <w:left w:val="single" w:sz="18" w:space="7" w:color="2E7D79"/>
        </w:pBdr>
        <w:keepLines/>
        <w:widowControl/>
      </w:pPr>
      <w:r>
        <w:rPr>
          <w:b/>
          <w:color w:val="2E7D79"/>
        </w:rPr>
        <w:t xml:space="preserve">Response structure  </w:t>
      </w:r>
      <w:r>
        <w:t>Acknowledge → answer in two sentences → tie back to the plan → announce the return to the agenda. Use “I don’t know; here is how I would find out” once, genuinely, instead of bluffing.</w:t>
      </w:r>
    </w:p>
    <w:p>
      <w:pPr>
        <w:pStyle w:val="Heading2"/>
        <w:keepNext/>
        <w:keepLines/>
        <w:widowControl/>
      </w:pPr>
      <w:r>
        <w:t>Core objections to drill</w:t>
      </w:r>
    </w:p>
    <w:p>
      <w:pPr>
        <w:pStyle w:val="Heading3"/>
        <w:keepNext/>
        <w:keepLines/>
        <w:widowControl/>
      </w:pPr>
      <w:r>
        <w:t>Leadership wants one tool. Why should it be Cursor?</w:t>
      </w:r>
    </w:p>
    <w:p>
      <w:pPr>
        <w:keepLines/>
        <w:widowControl/>
      </w:pPr>
      <w:r>
        <w:rPr>
          <w:i w:val="0"/>
        </w:rPr>
        <w:t>Concede that the repository workflow is portable because Acme should own it. Then set the bar: governed workflow, measured ramp and rework on real backlog work, transferable ownership, and auditable telemetry; Cursor is the candidate Acme can evaluate now because those mechanisms already exist.</w:t>
      </w:r>
    </w:p>
    <w:p>
      <w:pPr>
        <w:pStyle w:val="CompactNote"/>
        <w:keepLines/>
        <w:widowControl/>
      </w:pPr>
      <w:r>
        <w:rPr>
          <w:i/>
        </w:rPr>
        <w:t>Why this answer works: Owns the evaluation standard without pretending customer-owned Markdown is a moat.</w:t>
      </w:r>
    </w:p>
    <w:p>
      <w:pPr>
        <w:pStyle w:val="Heading3"/>
        <w:keepNext/>
        <w:keepLines/>
        <w:widowControl/>
      </w:pPr>
      <w:r>
        <w:t>What is your model strategy?</w:t>
      </w:r>
    </w:p>
    <w:p>
      <w:pPr>
        <w:keepLines/>
        <w:widowControl/>
      </w:pPr>
      <w:r>
        <w:rPr>
          <w:i w:val="0"/>
        </w:rPr>
        <w:t>Route by phase, capability, risk, and cost: inherited read-only planning, explicit cost-efficient Composer implementation after approval, and inherited read-only skeptical review plus deterministic gates. Frontmatter is a paved-road default; the admin allowlist is the enforced boundary.</w:t>
      </w:r>
    </w:p>
    <w:p>
      <w:pPr>
        <w:pStyle w:val="CompactNote"/>
        <w:keepLines/>
        <w:widowControl/>
      </w:pPr>
      <w:r>
        <w:rPr>
          <w:i/>
        </w:rPr>
        <w:t>Why this answer works: Answers the screen gap as policy and control placement rather than a brittle list of favorite models.</w:t>
      </w:r>
    </w:p>
    <w:p>
      <w:pPr>
        <w:pStyle w:val="Heading3"/>
        <w:keepNext/>
        <w:keepLines/>
        <w:widowControl/>
      </w:pPr>
      <w:r>
        <w:t>Which controls are actually enforced?</w:t>
      </w:r>
    </w:p>
    <w:p>
      <w:pPr>
        <w:keepLines/>
        <w:widowControl/>
      </w:pPr>
      <w:r>
        <w:rPr>
          <w:i w:val="0"/>
        </w:rPr>
        <w:t>Rules and skills are assistive; commands and subagent frontmatter are bypassable team standards; hooks, sandbox, and allowlists are tool policy; CI is deterministic; Bugbot, humans, and skeptical review are independent authorities. Do not present tiers 1–2 as security controls.</w:t>
      </w:r>
    </w:p>
    <w:p>
      <w:pPr>
        <w:pStyle w:val="CompactNote"/>
        <w:keepLines/>
        <w:widowControl/>
      </w:pPr>
      <w:r>
        <w:rPr>
          <w:i/>
        </w:rPr>
        <w:t>Why this answer works: Shows that agentic review, enterprise policy, and deterministic CI are different kinds of control.</w:t>
      </w:r>
    </w:p>
    <w:p>
      <w:pPr>
        <w:pStyle w:val="Heading3"/>
        <w:keepNext/>
        <w:keepLines/>
        <w:widowControl/>
      </w:pPr>
      <w:r>
        <w:t>Why not make the technical enthusiast the primary champion?</w:t>
      </w:r>
    </w:p>
    <w:p>
      <w:pPr>
        <w:keepLines/>
        <w:widowControl/>
      </w:pPr>
      <w:r>
        <w:rPr>
          <w:i w:val="0"/>
        </w:rPr>
        <w:t>Maya Chen (Staff Engineer) is the essential builder, but does not own the team outcome or executive path. David Park (Engineering Manager) is accountable for the six-week problem and can bring the result to Priya Nair (Director of Engineering); the plan deliberately needs both.</w:t>
      </w:r>
    </w:p>
    <w:p>
      <w:pPr>
        <w:pStyle w:val="CompactNote"/>
        <w:keepLines/>
        <w:widowControl/>
      </w:pPr>
      <w:r>
        <w:rPr>
          <w:i/>
        </w:rPr>
        <w:t>Why this answer works: Separates practitioner pull from organizational authority.</w:t>
      </w:r>
    </w:p>
    <w:p>
      <w:pPr>
        <w:pStyle w:val="Heading3"/>
        <w:keepNext/>
        <w:keepLines/>
        <w:widowControl/>
      </w:pPr>
      <w:r>
        <w:t>Why are weekly active seats not a primary metric?</w:t>
      </w:r>
    </w:p>
    <w:p>
      <w:pPr>
        <w:keepLines/>
        <w:widowControl/>
      </w:pPr>
      <w:r>
        <w:rPr>
          <w:i w:val="0"/>
        </w:rPr>
        <w:t>The pilot team already uses Cursor heavily, so more activity does not prove better onboarding. Use WAU as adoption and reach evidence; use ramp, rework, and design-to-deploy as outcome measures.</w:t>
      </w:r>
    </w:p>
    <w:p>
      <w:pPr>
        <w:pStyle w:val="CompactNote"/>
        <w:keepLines/>
        <w:widowControl/>
      </w:pPr>
      <w:r>
        <w:rPr>
          <w:i/>
        </w:rPr>
        <w:t>Why this answer works: Connects use to value without dismissing adoption health.</w:t>
      </w:r>
    </w:p>
    <w:p>
      <w:pPr>
        <w:pStyle w:val="Heading3"/>
        <w:keepNext/>
        <w:keepLines/>
        <w:widowControl/>
      </w:pPr>
      <w:r>
        <w:t>What if there are no new hires?</w:t>
      </w:r>
    </w:p>
    <w:p>
      <w:pPr>
        <w:keepLines/>
        <w:widowControl/>
      </w:pPr>
      <w:r>
        <w:rPr>
          <w:i w:val="0"/>
        </w:rPr>
        <w:t>Use cold-module engineers with matched task complexity and label every result as proxy. It can test workflow usability but cannot establish new-hire time-to-productivity.</w:t>
      </w:r>
    </w:p>
    <w:p>
      <w:pPr>
        <w:pStyle w:val="CompactNote"/>
        <w:keepLines/>
        <w:widowControl/>
      </w:pPr>
      <w:r>
        <w:rPr>
          <w:i/>
        </w:rPr>
        <w:t>Why this answer works: Keeps the pilot useful without changing what the evidence means.</w:t>
      </w:r>
    </w:p>
    <w:p>
      <w:pPr>
        <w:pStyle w:val="Heading3"/>
        <w:keepNext/>
        <w:keepLines/>
        <w:widowControl/>
      </w:pPr>
      <w:r>
        <w:t>The sample is too small.</w:t>
      </w:r>
    </w:p>
    <w:p>
      <w:pPr>
        <w:keepLines/>
        <w:widowControl/>
      </w:pPr>
      <w:r>
        <w:rPr>
          <w:i w:val="0"/>
        </w:rPr>
        <w:t>Show every observation, median, range, sample size, and matching method, then pair numbers with artifacts. Use the result for one bounded expansion decision, not a broad causal claim.</w:t>
      </w:r>
    </w:p>
    <w:p>
      <w:pPr>
        <w:pStyle w:val="CompactNote"/>
        <w:keepLines/>
        <w:widowControl/>
      </w:pPr>
      <w:r>
        <w:rPr>
          <w:i/>
        </w:rPr>
        <w:t>Why this answer works: Turns a limitation into a disciplined decision boundary.</w:t>
      </w:r>
    </w:p>
    <w:p>
      <w:pPr>
        <w:pStyle w:val="Heading3"/>
        <w:keepNext/>
        <w:keepLines/>
        <w:widowControl/>
      </w:pPr>
      <w:r>
        <w:t>How do you prevent cherry-picking easy issues?</w:t>
      </w:r>
    </w:p>
    <w:p>
      <w:pPr>
        <w:keepLines/>
        <w:widowControl/>
      </w:pPr>
      <w:r>
        <w:rPr>
          <w:i w:val="0"/>
        </w:rPr>
        <w:t>Ravi Shah (Product Manager) and David Park (Engineering Manager) set a task rubric before assignment: comparable complexity, real roadmap value, common review/CI gates, and no selection based on expected AI performance. Preserve exclusions and reasons.</w:t>
      </w:r>
    </w:p>
    <w:p>
      <w:pPr>
        <w:pStyle w:val="CompactNote"/>
        <w:keepLines/>
        <w:widowControl/>
      </w:pPr>
      <w:r>
        <w:rPr>
          <w:i/>
        </w:rPr>
        <w:t>Why this answer works: Protects the result from task-selection bias.</w:t>
      </w:r>
    </w:p>
    <w:p>
      <w:pPr>
        <w:pStyle w:val="Heading3"/>
        <w:keepNext/>
        <w:keepLines/>
        <w:widowControl/>
      </w:pPr>
      <w:r>
        <w:t>What if faster onboarding means worse code?</w:t>
      </w:r>
    </w:p>
    <w:p>
      <w:pPr>
        <w:keepLines/>
        <w:widowControl/>
      </w:pPr>
      <w:r>
        <w:rPr>
          <w:i w:val="0"/>
        </w:rPr>
        <w:t>That is why rework is co-primary and Nina Alvarez (QA / Test Lead) owns the taxonomy. A speed gain is invalid if material rework, defects, or bypassed gates increase.</w:t>
      </w:r>
    </w:p>
    <w:p>
      <w:pPr>
        <w:pStyle w:val="CompactNote"/>
        <w:keepLines/>
        <w:widowControl/>
      </w:pPr>
      <w:r>
        <w:rPr>
          <w:i/>
        </w:rPr>
        <w:t>Why this answer works: Makes quality a decision rule, not a reassuring footnote.</w:t>
      </w:r>
    </w:p>
    <w:p>
      <w:pPr>
        <w:pStyle w:val="Heading3"/>
        <w:keepNext/>
        <w:keepLines/>
        <w:widowControl/>
      </w:pPr>
      <w:r>
        <w:t>What if the pilot misses the 3× target?</w:t>
      </w:r>
    </w:p>
    <w:p>
      <w:pPr>
        <w:keepLines/>
        <w:widowControl/>
      </w:pPr>
      <w:r>
        <w:rPr>
          <w:i w:val="0"/>
        </w:rPr>
        <w:t>Decompose design-to-deploy time into context discovery, coding, review, CI, and deployment wait. Recommend the smallest next intervention—or stop—based on the remaining bottleneck.</w:t>
      </w:r>
    </w:p>
    <w:p>
      <w:pPr>
        <w:pStyle w:val="CompactNote"/>
        <w:keepLines/>
        <w:widowControl/>
      </w:pPr>
      <w:r>
        <w:rPr>
          <w:i/>
        </w:rPr>
        <w:t>Why this answer works: A credible no-go decision protects trust better than inflated ROI.</w:t>
      </w:r>
    </w:p>
    <w:p>
      <w:pPr>
        <w:pStyle w:val="Heading3"/>
        <w:keepNext/>
        <w:keepLines/>
        <w:widowControl/>
      </w:pPr>
      <w:r>
        <w:t>Why not roll out to all 18 teams?</w:t>
      </w:r>
    </w:p>
    <w:p>
      <w:pPr>
        <w:keepLines/>
        <w:widowControl/>
      </w:pPr>
      <w:r>
        <w:rPr>
          <w:i w:val="0"/>
        </w:rPr>
        <w:t>Only six teams are meaningfully active and two earlier pilots stalled. Prove the pattern on the wedge, then reproduce it on one stalled team under different conditions.</w:t>
      </w:r>
    </w:p>
    <w:p>
      <w:pPr>
        <w:pStyle w:val="CompactNote"/>
        <w:keepLines/>
        <w:widowControl/>
      </w:pPr>
      <w:r>
        <w:rPr>
          <w:i/>
        </w:rPr>
        <w:t>Why this answer works: Tests repeatability before multiplying support burden and risk.</w:t>
      </w:r>
    </w:p>
    <w:p>
      <w:pPr>
        <w:pStyle w:val="Heading3"/>
        <w:keepNext/>
        <w:keepLines/>
        <w:widowControl/>
      </w:pPr>
      <w:r>
        <w:t>Where do PM, QA, and DevOps really participate?</w:t>
      </w:r>
    </w:p>
    <w:p>
      <w:pPr>
        <w:keepLines/>
        <w:widowControl/>
      </w:pPr>
      <w:r>
        <w:rPr>
          <w:i w:val="0"/>
        </w:rPr>
        <w:t>Ravi Shah (Product Manager) co-maintains the task rubric and /scope-issue; Nina Alvarez (QA / Test Lead) owns rework, review criteria, and future Bugbot rules; Marcus Webb (DevOps / Platform Owner) owns CI, environment boundaries, and automation approval. Session 3 requires each person to change one owned artifact without the SA.</w:t>
      </w:r>
    </w:p>
    <w:p>
      <w:pPr>
        <w:pStyle w:val="CompactNote"/>
        <w:keepLines/>
        <w:widowControl/>
      </w:pPr>
      <w:r>
        <w:rPr>
          <w:i/>
        </w:rPr>
        <w:t>Why this answer works: Makes cross-functional people builders, as the handout asks, rather than reviewers of an engineer-owned system.</w:t>
      </w:r>
    </w:p>
    <w:p>
      <w:pPr>
        <w:pStyle w:val="Heading3"/>
        <w:keepNext/>
        <w:keepLines/>
        <w:widowControl/>
      </w:pPr>
      <w:r>
        <w:t>Where do MCP and cloud agents fit?</w:t>
      </w:r>
    </w:p>
    <w:p>
      <w:pPr>
        <w:keepLines/>
        <w:widowControl/>
      </w:pPr>
      <w:r>
        <w:rPr>
          <w:i w:val="0"/>
        </w:rPr>
        <w:t>Not on day one by default. Use least-privilege MCP after security review and bounded cloud automation only after the foreground workflow, permissions, environment, and review gates are proven.</w:t>
      </w:r>
    </w:p>
    <w:p>
      <w:pPr>
        <w:pStyle w:val="CompactNote"/>
        <w:keepLines/>
        <w:widowControl/>
      </w:pPr>
      <w:r>
        <w:rPr>
          <w:i/>
        </w:rPr>
        <w:t>Why this answer works: Prevents automation from outrunning governance.</w:t>
      </w:r>
    </w:p>
    <w:p>
      <w:pPr>
        <w:pStyle w:val="Heading3"/>
        <w:keepNext/>
        <w:keepLines/>
        <w:widowControl/>
      </w:pPr>
      <w:r>
        <w:t>How is this defensible to Finance?</w:t>
      </w:r>
    </w:p>
    <w:p>
      <w:pPr>
        <w:keepLines/>
        <w:widowControl/>
      </w:pPr>
      <w:r>
        <w:rPr>
          <w:i w:val="0"/>
        </w:rPr>
        <w:t>Translate verified deltas into capacity only after Acme validates hiring volume and loaded cost. Show formulas and ranges, and compare the standardized workflow with today’s fragmented baseline or a controlled alternative.</w:t>
      </w:r>
    </w:p>
    <w:p>
      <w:pPr>
        <w:pStyle w:val="CompactNote"/>
        <w:keepLines/>
        <w:widowControl/>
      </w:pPr>
      <w:r>
        <w:rPr>
          <w:i/>
        </w:rPr>
        <w:t>Why this answer works: Avoids feature-checklist selling and heroic ROI claims.</w:t>
      </w:r>
    </w:p>
    <w:p>
      <w:pPr>
        <w:pStyle w:val="Heading3"/>
        <w:keepNext/>
        <w:keepLines/>
        <w:widowControl/>
      </w:pPr>
      <w:r>
        <w:t>How do you prove ownership transfer?</w:t>
      </w:r>
    </w:p>
    <w:p>
      <w:pPr>
        <w:keepLines/>
        <w:widowControl/>
      </w:pPr>
      <w:r>
        <w:rPr>
          <w:i w:val="0"/>
        </w:rPr>
        <w:t>Maya Chen (Staff Engineer) changes the workflow, the product, quality, and platform owners change their own artifacts, a second engineer runs the path, and named maintainers accept a review cadence. David Park (Engineering Manager)—not Cursor—presents the outcome to Priya Nair (Director of Engineering).</w:t>
      </w:r>
    </w:p>
    <w:p>
      <w:pPr>
        <w:pStyle w:val="CompactNote"/>
        <w:keepLines/>
        <w:widowControl/>
      </w:pPr>
      <w:r>
        <w:rPr>
          <w:i/>
        </w:rPr>
        <w:t>Why this answer works: Converts “teach-to-fish” into observable acceptance tests.</w:t>
      </w:r>
    </w:p>
    <w:p>
      <w:pPr>
        <w:pStyle w:val="Heading3"/>
        <w:keepNext/>
        <w:keepLines/>
        <w:widowControl/>
      </w:pPr>
      <w:r>
        <w:t>What actually exists on renewal day?</w:t>
      </w:r>
    </w:p>
    <w:p>
      <w:pPr>
        <w:keepLines/>
        <w:widowControl/>
      </w:pPr>
      <w:r>
        <w:rPr>
          <w:i w:val="0"/>
        </w:rPr>
        <w:t>Name the worst-case inventory: Acme’s historical baseline, a small observed or proxy pilot curve with every label visible, a governed instrumented customer-owned workflow with quality and platform sign-off, and a second-team repeatability test in flight. The renewal asks leadership to fund expansion of a working pattern, not pretend the study is complete.</w:t>
      </w:r>
    </w:p>
    <w:p>
      <w:pPr>
        <w:pStyle w:val="CompactNote"/>
        <w:keepLines/>
        <w:widowControl/>
      </w:pPr>
      <w:r>
        <w:rPr>
          <w:i/>
        </w:rPr>
        <w:t>Why this answer works: Treats limited time and sample size as a decision boundary rather than a hidden weakness.</w:t>
      </w:r>
    </w:p>
    <w:p>
      <w:pPr>
        <w:pStyle w:val="Heading3"/>
        <w:keepNext/>
        <w:keepLines/>
        <w:widowControl/>
      </w:pPr>
      <w:r>
        <w:t>What is the biggest risk?</w:t>
      </w:r>
    </w:p>
    <w:p>
      <w:pPr>
        <w:keepLines/>
        <w:widowControl/>
      </w:pPr>
      <w:r>
        <w:rPr>
          <w:i w:val="0"/>
        </w:rPr>
        <w:t>Renewal pressure could turn a small proxy pilot into an overstated causal claim. Agree on labels and thresholds with David Park (Engineering Manager) and Priya Nair (Director of Engineering) before results exist, and make expansion conditional.</w:t>
      </w:r>
    </w:p>
    <w:p>
      <w:pPr>
        <w:pStyle w:val="CompactNote"/>
        <w:keepLines/>
        <w:widowControl/>
      </w:pPr>
      <w:r>
        <w:rPr>
          <w:i/>
        </w:rPr>
        <w:t>Why this answer works: Shows awareness of the commercial pressure that can corrupt evidence.</w:t>
      </w:r>
    </w:p>
    <w:p>
      <w:pPr>
        <w:pStyle w:val="Heading3"/>
        <w:keepNext/>
        <w:keepLines/>
        <w:widowControl/>
      </w:pPr>
      <w:r>
        <w:t>What breaks in the agent workflow?</w:t>
      </w:r>
    </w:p>
    <w:p>
      <w:pPr>
        <w:keepLines/>
        <w:widowControl/>
      </w:pPr>
      <w:r>
        <w:rPr>
          <w:i w:val="0"/>
        </w:rPr>
        <w:t>Rules encode written conventions, not reviewer judgment; planning can choose a plausible but wrong sibling implementation; architecture maps can drift. That is why skeptical review is advisory, plan approval is hard, CI is authoritative, and /update-rules exists.</w:t>
      </w:r>
    </w:p>
    <w:p>
      <w:pPr>
        <w:pStyle w:val="CompactNote"/>
        <w:keepLines/>
        <w:widowControl/>
      </w:pPr>
      <w:r>
        <w:rPr>
          <w:i/>
        </w:rPr>
        <w:t>Why this answer works: Demonstrates technical honesty and intentional guardrails.</w:t>
      </w:r>
    </w:p>
    <w:p>
      <w:pPr>
        <w:pStyle w:val="Heading1"/>
        <w:keepNext/>
        <w:keepLines/>
        <w:widowControl/>
      </w:pPr>
      <w:r>
        <w:t>10. The two 30-minute interviews and Ally call</w:t>
      </w:r>
    </w:p>
    <w:p>
      <w:pPr>
        <w:pStyle w:val="Heading2"/>
        <w:keepNext/>
        <w:keepLines/>
        <w:widowControl/>
      </w:pPr>
      <w:r>
        <w:t>Ally call: resolve blockers first</w:t>
      </w:r>
    </w:p>
    <w:p>
      <w:pPr>
        <w:numPr>
          <w:ilvl w:val="0"/>
          <w:numId w:val="11"/>
        </w:numPr>
        <w:keepLines/>
        <w:widowControl/>
      </w:pPr>
      <w:r>
        <w:t>Confirm the hiring manager’s name and email; the placeholder was never filled.</w:t>
      </w:r>
    </w:p>
    <w:p>
      <w:pPr>
        <w:numPr>
          <w:ilvl w:val="0"/>
          <w:numId w:val="11"/>
        </w:numPr>
        <w:keepLines/>
        <w:widowControl/>
      </w:pPr>
      <w:r>
        <w:t>Confirm the exact subject line: “Solution” versus “Solution Plan.”</w:t>
      </w:r>
    </w:p>
    <w:p>
      <w:pPr>
        <w:numPr>
          <w:ilvl w:val="0"/>
          <w:numId w:val="11"/>
        </w:numPr>
        <w:keepLines/>
        <w:widowControl/>
      </w:pPr>
      <w:r>
        <w:t>Get both interviewers’ names and roles, including who will play ADM, AE/FE, and RD.</w:t>
      </w:r>
    </w:p>
    <w:p>
      <w:pPr>
        <w:numPr>
          <w:ilvl w:val="0"/>
          <w:numId w:val="11"/>
        </w:numPr>
        <w:keepLines/>
        <w:widowControl/>
      </w:pPr>
      <w:r>
        <w:t>Confirm whether the send-ahead itself is in role and whether an attachment is acceptable.</w:t>
      </w:r>
    </w:p>
    <w:p>
      <w:pPr>
        <w:numPr>
          <w:ilvl w:val="0"/>
          <w:numId w:val="11"/>
        </w:numPr>
        <w:keepLines/>
        <w:widowControl/>
      </w:pPr>
      <w:r>
        <w:t>Confirm the mechanics of the handout’s 45-minute lead plus roughly 15-minute wrap-up/feedback block.</w:t>
      </w:r>
    </w:p>
    <w:p>
      <w:pPr>
        <w:numPr>
          <w:ilvl w:val="0"/>
          <w:numId w:val="11"/>
        </w:numPr>
        <w:keepLines/>
        <w:widowControl/>
      </w:pPr>
      <w:r>
        <w:t>Confirm screen-sharing, repository access, whiteboard availability, and whether the send-ahead will be read.</w:t>
      </w:r>
    </w:p>
    <w:p>
      <w:pPr>
        <w:numPr>
          <w:ilvl w:val="0"/>
          <w:numId w:val="11"/>
        </w:numPr>
        <w:keepLines/>
        <w:widowControl/>
      </w:pPr>
      <w:r>
        <w:t>Confirm that positioning-only capabilities are fair to discuss when clearly labeled as scale steps.</w:t>
      </w:r>
    </w:p>
    <w:p>
      <w:pPr>
        <w:numPr>
          <w:ilvl w:val="0"/>
          <w:numId w:val="11"/>
        </w:numPr>
        <w:keepLines/>
        <w:widowControl/>
      </w:pPr>
      <w:r>
        <w:t>Ask about the preferred balance between interaction and prepared material.</w:t>
      </w:r>
    </w:p>
    <w:p>
      <w:pPr>
        <w:numPr>
          <w:ilvl w:val="0"/>
          <w:numId w:val="11"/>
        </w:numPr>
        <w:keepLines/>
        <w:widowControl/>
      </w:pPr>
      <w:r>
        <w:t>Accept the additional Cursor usage credits.</w:t>
      </w:r>
    </w:p>
    <w:p>
      <w:pPr>
        <w:keepLines/>
        <w:widowControl/>
      </w:pPr>
      <w:r>
        <w:rPr>
          <w:i w:val="0"/>
        </w:rPr>
        <w:t>Why the order matters: the missing hiring-manager address and ambiguous subject line block the send-ahead. Role and timing ambiguity can change the session design, so resolve them before polishing low-risk details.</w:t>
      </w:r>
    </w:p>
    <w:p>
      <w:pPr>
        <w:pStyle w:val="Heading2"/>
        <w:keepNext/>
        <w:keepLines/>
        <w:widowControl/>
      </w:pPr>
      <w:r>
        <w:t>How to receive the feedback block</w:t>
      </w:r>
    </w:p>
    <w:p>
      <w:pPr>
        <w:keepLines/>
        <w:widowControl/>
      </w:pPr>
      <w:r>
        <w:rPr>
          <w:i w:val="0"/>
        </w:rPr>
        <w:t>Take notes visibly, ask one clarifying question about the most important feedback, and do not rebut. Use: “That’s fair; here is how I would adjust.”</w:t>
      </w:r>
    </w:p>
    <w:p>
      <w:pPr>
        <w:keepLines/>
        <w:widowControl/>
      </w:pPr>
      <w:r>
        <w:rPr>
          <w:i w:val="0"/>
        </w:rPr>
        <w:t>Why: even if the feedback block is formally unscored, the team is still observing how a customer-facing partner receives coaching and changes course.</w:t>
      </w:r>
    </w:p>
    <w:p>
      <w:pPr>
        <w:pStyle w:val="Heading2"/>
        <w:keepNext/>
        <w:keepLines/>
        <w:widowControl/>
      </w:pPr>
      <w:r>
        <w:t>ADM interview: make the future partner’s life easier</w:t>
      </w:r>
    </w:p>
    <w:p>
      <w:pPr>
        <w:keepLines/>
        <w:widowControl/>
      </w:pPr>
      <w:r>
        <w:rPr>
          <w:i w:val="0"/>
        </w:rPr>
        <w:t>Lead with the operating model: you run point; the ADM receives evidence and precise, low-cost asks; you use a short weekly cadence; you never surprise the ADM in front of the customer.</w:t>
      </w:r>
    </w:p>
    <w:p>
      <w:pPr>
        <w:numPr>
          <w:ilvl w:val="0"/>
          <w:numId w:val="10"/>
        </w:numPr>
        <w:keepLines/>
        <w:widowControl/>
      </w:pPr>
      <w:r>
        <w:t>Prepare a story where a technical engagement became commercial evidence.</w:t>
      </w:r>
    </w:p>
    <w:p>
      <w:pPr>
        <w:numPr>
          <w:ilvl w:val="0"/>
          <w:numId w:val="10"/>
        </w:numPr>
        <w:keepLines/>
        <w:widowControl/>
      </w:pPr>
      <w:r>
        <w:t>Prepare a story where you managed a skeptical executive without overclaiming.</w:t>
      </w:r>
    </w:p>
    <w:p>
      <w:pPr>
        <w:numPr>
          <w:ilvl w:val="0"/>
          <w:numId w:val="10"/>
        </w:numPr>
        <w:keepLines/>
        <w:widowControl/>
      </w:pPr>
      <w:r>
        <w:t>Prepare a story where the customer took ownership and you successfully stepped away.</w:t>
      </w:r>
    </w:p>
    <w:p>
      <w:pPr>
        <w:keepLines/>
        <w:widowControl/>
      </w:pPr>
      <w:r>
        <w:rPr>
          <w:i w:val="0"/>
        </w:rPr>
        <w:t>Good questions: “What does your best SA partnership look like day to day?” “Where do engagements usually stall—technical, political, or procurement?” “How do you capture value evidence today, and what is missing?”</w:t>
      </w:r>
    </w:p>
    <w:p>
      <w:pPr>
        <w:keepLines/>
        <w:widowControl/>
      </w:pPr>
      <w:r>
        <w:rPr>
          <w:i w:val="0"/>
        </w:rPr>
        <w:t>Why: the interviewer is asking whether your work reduces account risk and cognitive load, not merely whether you can lead a technical meeting.</w:t>
      </w:r>
    </w:p>
    <w:p>
      <w:pPr>
        <w:pStyle w:val="Heading2"/>
        <w:keepNext/>
        <w:keepLines/>
        <w:widowControl/>
      </w:pPr>
      <w:r>
        <w:t>Senior SA leader interview: show altitude and scale</w:t>
      </w:r>
    </w:p>
    <w:p>
      <w:pPr>
        <w:numPr>
          <w:ilvl w:val="0"/>
          <w:numId w:val="10"/>
        </w:numPr>
        <w:keepLines/>
        <w:widowControl/>
      </w:pPr>
      <w:r>
        <w:t>Deliver the Acme plan in three minutes, then defend why the wedge, metrics, champion ladder, and guardrails are right.</w:t>
      </w:r>
    </w:p>
    <w:p>
      <w:pPr>
        <w:numPr>
          <w:ilvl w:val="0"/>
          <w:numId w:val="10"/>
        </w:numPr>
        <w:keepLines/>
        <w:widowControl/>
      </w:pPr>
      <w:r>
        <w:t>Explain what you would cut if the engagement were 30 days instead of 90: preserve definitions, quality, and ownership; reduce scope and expansion.</w:t>
      </w:r>
    </w:p>
    <w:p>
      <w:pPr>
        <w:numPr>
          <w:ilvl w:val="0"/>
          <w:numId w:val="10"/>
        </w:numPr>
        <w:keepLines/>
        <w:widowControl/>
      </w:pPr>
      <w:r>
        <w:t>Describe how one team’s paved road becomes an 18-team operating model only after one second-team reproduction.</w:t>
      </w:r>
    </w:p>
    <w:p>
      <w:pPr>
        <w:numPr>
          <w:ilvl w:val="0"/>
          <w:numId w:val="10"/>
        </w:numPr>
        <w:keepLines/>
        <w:widowControl/>
      </w:pPr>
      <w:r>
        <w:t>Name what the SA organization should productize: pilot kit, data dictionary, evidence ledger, security checklist, and template repository.</w:t>
      </w:r>
    </w:p>
    <w:p>
      <w:pPr>
        <w:numPr>
          <w:ilvl w:val="0"/>
          <w:numId w:val="10"/>
        </w:numPr>
        <w:keepLines/>
        <w:widowControl/>
      </w:pPr>
      <w:r>
        <w:t>Answer competitive questions without trash talk or unsupported model claims.</w:t>
      </w:r>
    </w:p>
    <w:p>
      <w:pPr>
        <w:keepLines/>
        <w:widowControl/>
      </w:pPr>
      <w:r>
        <w:rPr>
          <w:i w:val="0"/>
        </w:rPr>
        <w:t>Good questions: “What separates top-quartile SAs from the middle?” “How much of the role is greenfield adoption versus renewal defense?” “What is the organization’s largest product gap for enterprise evidence and ROI storytelling?”</w:t>
      </w:r>
    </w:p>
    <w:p>
      <w:pPr>
        <w:pStyle w:val="Heading2"/>
        <w:keepNext/>
        <w:keepLines/>
        <w:widowControl/>
      </w:pPr>
      <w:r>
        <w:t>Send-ahead readiness</w:t>
      </w:r>
    </w:p>
    <w:p>
      <w:pPr>
        <w:keepLines/>
        <w:widowControl/>
      </w:pPr>
      <w:r>
        <w:rPr>
          <w:i w:val="0"/>
        </w:rPr>
        <w:t>After confirmation, use the newer recruiter instruction unless told otherwise: “John [Last Name] - Challenge - Solution.” The handout itself says “Solution Plan,” so this remains a blocker. The body should promise a 30-day team-owned build-and-pilot phase starting after cohort and task confirmation; test six weeks toward two with no rework increase; assign owned artifacts across product, quality, platform, and engineering; capture three outcome measures; transfer ownership; and ask the ADM for roughly five hours across 90 days for choreography, evidence, and renewal partnership.</w:t>
      </w:r>
    </w:p>
    <w:p>
      <w:pPr>
        <w:keepLines/>
        <w:widowControl/>
      </w:pPr>
      <w:r>
        <w:rPr>
          <w:i w:val="0"/>
        </w:rPr>
        <w:t>Why: the send-ahead should reduce meeting time spent downloading the plan and demonstrate that you respect the ADM’s multi-account altitude.</w:t>
      </w:r>
    </w:p>
    <w:p>
      <w:pPr>
        <w:pStyle w:val="Heading1"/>
        <w:keepNext/>
        <w:keepLines/>
        <w:widowControl/>
      </w:pPr>
      <w:r>
        <w:t>11. Talk tracks to rehearse</w:t>
      </w:r>
    </w:p>
    <w:p>
      <w:pPr>
        <w:pStyle w:val="Heading2"/>
        <w:keepNext/>
        <w:keepLines/>
        <w:widowControl/>
      </w:pPr>
      <w:r>
        <w:t>30-second version</w:t>
      </w:r>
    </w:p>
    <w:p>
      <w:pPr>
        <w:pStyle w:val="CommandBlock"/>
        <w:shd w:fill="F2F4F7"/>
        <w:pBdr>
          <w:left w:val="single" w:sz="10" w:space="6" w:color="5E6B75"/>
        </w:pBdr>
        <w:keepLines/>
        <w:widowControl/>
      </w:pPr>
      <w:r>
        <w:t>“Acme’s problem is not primarily seat activation; it is standardization and proof. I would use the high-adoption 12-person team to test whether a governed onboarding workflow can move first meaningful PR from about six weeks toward two without increasing rework. Maya Chen (Staff Engineer) co-builds it, David Park (Engineering Manager) owns the outcome, and Priya Nair (Director of Engineering) sets the executive evidence threshold. We measure ramp speed, rework, and design-to-deploy, transfer ownership, and expand to one stalled team only if the evidence holds.”</w:t>
      </w:r>
    </w:p>
    <w:p>
      <w:pPr>
        <w:pStyle w:val="Heading2"/>
        <w:keepNext/>
        <w:keepLines/>
        <w:widowControl/>
      </w:pPr>
      <w:r>
        <w:t>Three-minute version</w:t>
      </w:r>
    </w:p>
    <w:p>
      <w:pPr>
        <w:pStyle w:val="CommandBlock"/>
        <w:shd w:fill="F2F4F7"/>
        <w:widowControl/>
        <w:pBdr>
          <w:left w:val="single" w:sz="10" w:space="6" w:color="5E6B75"/>
        </w:pBdr>
      </w:pPr>
      <w:r>
        <w:t>“My diagnosis is that Acme has product pull but lacks a standardized workflow and credible value proof. Finance sees overlapping tools, leadership lacks an executive champion, and the renewal is roughly 90 days away. I would not respond with a broader feature tour.</w:t>
        <w:br/>
        <w:br/>
        <w:t>I would use the high-adoption 12-person team as the wedge because it removes basic adoption as the main variable and has a specific six-week onboarding bottleneck. The target is to test movement toward two weeks, not promise a 3× result, and the result is invalid if material rework increases.</w:t>
        <w:br/>
        <w:br/>
        <w:t>The champion system has three levels: Maya Chen (Staff Engineer) co-builds and maintains the repository workflow; David Park (Engineering Manager) defines meaningful PR, accepts the baseline, sponsors the team, and owns the outcome; Priya Nair (Director of Engineering) aligns on the evidence threshold and decides whether to expand. Nina Alvarez (QA / Test Lead) owns the quality taxonomy, Marcus Webb (DevOps / Platform Owner) owns CI, permissions, and deployment evidence, and Ravi Shah (Product Manager) supplies real comparable roadmap tasks.</w:t>
        <w:br/>
        <w:br/>
        <w:t>The pilot has three sessions: baseline and co-design; a learner-driven paired run with recorded interventions; and a teach-back where each product, quality, platform, and engineering owner changes an artifact and a second engineer reruns the workflow without the SA. The three primary measures are time to first meaningful PR, ramp rework, and design-to-deploy. Every claim is labeled observed, historical baseline, proxy, or hypothesis.</w:t>
        <w:br/>
        <w:br/>
        <w:t>The Cursor architecture is deliberate: read-only planning, human approval, bounded Composer implementation, independent review, and deterministic CI. This wedge is Acme’s first governed production line; MCP, hooks, Bugbot, Team Marketplace distribution, and bounded cloud execution are connected and automated stages earned only after the foreground controls hold.</w:t>
        <w:br/>
        <w:br/>
        <w:t>The existing Cursor artifact proves that the engineering workflow can operate on the repository. It does not prove Acme impact. The customer pilot earns that claim. At the midpoint, the accountable champion presents the observations, sample size, quality result, and before/after artifacts. Then Acme chooses iterate, stop, or reproduce the pattern on one stalled team. That gives the ADM a renewal story based on customer ownership and defensible evidence, not a one-off demo.”</w:t>
      </w:r>
    </w:p>
    <w:p>
      <w:pPr>
        <w:pStyle w:val="Heading2"/>
        <w:keepNext/>
        <w:keepLines/>
        <w:widowControl/>
      </w:pPr>
      <w:r>
        <w:t>Closing version</w:t>
      </w:r>
    </w:p>
    <w:p>
      <w:pPr>
        <w:pStyle w:val="CommandBlock"/>
        <w:shd w:fill="F2F4F7"/>
        <w:pBdr>
          <w:left w:val="single" w:sz="10" w:space="6" w:color="5E6B75"/>
        </w:pBdr>
        <w:keepLines/>
        <w:widowControl/>
      </w:pPr>
      <w:r>
        <w:t>“We are not promising that Cursor makes onboarding 3× faster. We are proposing a controlled way to find out, with speed, quality, and production reach measured; Acme ownership built in; and the executive sponsor engaged before the renewal story is already written. The next action is a baseline session, preceded by the data request and stakeholder confirmation.”</w:t>
      </w:r>
    </w:p>
    <w:p>
      <w:pPr>
        <w:pStyle w:val="Heading2"/>
        <w:keepNext/>
        <w:keepLines/>
        <w:widowControl/>
      </w:pPr>
      <w:r>
        <w:t>Four bridge phrases</w:t>
      </w:r>
    </w:p>
    <w:p>
      <w:pPr>
        <w:numPr>
          <w:ilvl w:val="0"/>
          <w:numId w:val="10"/>
        </w:numPr>
        <w:keepLines/>
        <w:widowControl/>
      </w:pPr>
      <w:r>
        <w:t>“That changes how I stage the evidence; it does not change the pilot controls.”</w:t>
      </w:r>
    </w:p>
    <w:p>
      <w:pPr>
        <w:numPr>
          <w:ilvl w:val="0"/>
          <w:numId w:val="10"/>
        </w:numPr>
        <w:keepLines/>
        <w:widowControl/>
      </w:pPr>
      <w:r>
        <w:t>“Let me name the tension and make the tradeoff explicit.”</w:t>
      </w:r>
    </w:p>
    <w:p>
      <w:pPr>
        <w:numPr>
          <w:ilvl w:val="0"/>
          <w:numId w:val="10"/>
        </w:numPr>
        <w:keepLines/>
        <w:widowControl/>
      </w:pPr>
      <w:r>
        <w:t>“That is a hypothesis today; here is the evidence that would upgrade it.”</w:t>
      </w:r>
    </w:p>
    <w:p>
      <w:pPr>
        <w:numPr>
          <w:ilvl w:val="0"/>
          <w:numId w:val="10"/>
        </w:numPr>
        <w:keepLines/>
        <w:widowControl/>
      </w:pPr>
      <w:r>
        <w:t>“I’m going to return us to the account decision we need to land in this segment.”</w:t>
      </w:r>
    </w:p>
    <w:p>
      <w:pPr>
        <w:pStyle w:val="Heading1"/>
        <w:keepNext/>
        <w:keepLines/>
        <w:widowControl/>
      </w:pPr>
      <w:r>
        <w:t>12. Rehearsal and day-of checklist</w:t>
      </w:r>
    </w:p>
    <w:p>
      <w:pPr>
        <w:pStyle w:val="LeadCallout"/>
        <w:shd w:fill="F2F4F7"/>
        <w:pBdr>
          <w:left w:val="single" w:sz="18" w:space="7" w:color="8A6500"/>
        </w:pBdr>
        <w:keepLines/>
        <w:widowControl/>
      </w:pPr>
      <w:r>
        <w:rPr>
          <w:b/>
          <w:color w:val="8A6500"/>
        </w:rPr>
        <w:t xml:space="preserve">Do this first  </w:t>
      </w:r>
      <w:r>
        <w:t>In a fresh Cursor window, verify that /first-contribution dispatches the read-only planner and stops for approval, /pre-review delegates to skeptical-reviewer, composer-2.5 resolves, and the actual Composer variant is known. Until then, keep the wording “Cursor-native, cost-efficient” and rehearse the honest inline fallback.</w:t>
      </w:r>
    </w:p>
    <w:p>
      <w:pPr>
        <w:pStyle w:val="Heading2"/>
        <w:keepNext/>
        <w:keepLines/>
        <w:widowControl/>
      </w:pPr>
      <w:r>
        <w:t>Rehearsal pass 1 — Logic</w:t>
      </w:r>
    </w:p>
    <w:p>
      <w:pPr>
        <w:numPr>
          <w:ilvl w:val="0"/>
          <w:numId w:val="10"/>
        </w:numPr>
        <w:keepLines/>
        <w:widowControl/>
      </w:pPr>
      <w:r>
        <w:t>Deliver the 30-second and three-minute account thesis without notes.</w:t>
      </w:r>
    </w:p>
    <w:p>
      <w:pPr>
        <w:numPr>
          <w:ilvl w:val="0"/>
          <w:numId w:val="10"/>
        </w:numPr>
        <w:keepLines/>
        <w:widowControl/>
      </w:pPr>
      <w:r>
        <w:t>Explain why each metric exists and why WAU is supporting evidence.</w:t>
      </w:r>
    </w:p>
    <w:p>
      <w:pPr>
        <w:numPr>
          <w:ilvl w:val="0"/>
          <w:numId w:val="10"/>
        </w:numPr>
        <w:keepLines/>
        <w:widowControl/>
      </w:pPr>
      <w:r>
        <w:t>Explain why the champion ladder needs builder, accountable owner, and sponsor.</w:t>
      </w:r>
    </w:p>
    <w:p>
      <w:pPr>
        <w:numPr>
          <w:ilvl w:val="0"/>
          <w:numId w:val="10"/>
        </w:numPr>
        <w:keepLines/>
        <w:widowControl/>
      </w:pPr>
      <w:r>
        <w:t>Deliver the account-risk capability map and one-breath model policy before any command.</w:t>
      </w:r>
    </w:p>
    <w:p>
      <w:pPr>
        <w:numPr>
          <w:ilvl w:val="0"/>
          <w:numId w:val="10"/>
        </w:numPr>
        <w:keepLines/>
        <w:widowControl/>
      </w:pPr>
      <w:r>
        <w:t>Place each mechanism on the five-tier enforcement ladder without calling rules or routing security controls.</w:t>
      </w:r>
    </w:p>
    <w:p>
      <w:pPr>
        <w:numPr>
          <w:ilvl w:val="0"/>
          <w:numId w:val="10"/>
        </w:numPr>
        <w:keepLines/>
        <w:widowControl/>
      </w:pPr>
      <w:r>
        <w:t>Explain repeatable → connected → automated in under three minutes, with the human, CI, and deploy gates intact.</w:t>
      </w:r>
    </w:p>
    <w:p>
      <w:pPr>
        <w:numPr>
          <w:ilvl w:val="0"/>
          <w:numId w:val="10"/>
        </w:numPr>
        <w:keepLines/>
        <w:widowControl/>
      </w:pPr>
      <w:r>
        <w:t>Explain exactly what would cause you to stop.</w:t>
      </w:r>
    </w:p>
    <w:p>
      <w:pPr>
        <w:numPr>
          <w:ilvl w:val="0"/>
          <w:numId w:val="10"/>
        </w:numPr>
        <w:keepLines/>
        <w:widowControl/>
      </w:pPr>
      <w:r>
        <w:t>Practice saying what the technical artifact does not prove.</w:t>
      </w:r>
    </w:p>
    <w:p>
      <w:pPr>
        <w:pStyle w:val="Heading2"/>
        <w:keepNext/>
        <w:keepLines/>
        <w:widowControl/>
      </w:pPr>
      <w:r>
        <w:t>Rehearsal pass 2 — Interaction</w:t>
      </w:r>
    </w:p>
    <w:p>
      <w:pPr>
        <w:numPr>
          <w:ilvl w:val="0"/>
          <w:numId w:val="10"/>
        </w:numPr>
        <w:keepLines/>
        <w:widowControl/>
      </w:pPr>
      <w:r>
        <w:t>Run the full 45 minutes with the Excalidraw board live and someone interrupting or changing persona.</w:t>
      </w:r>
    </w:p>
    <w:p>
      <w:pPr>
        <w:numPr>
          <w:ilvl w:val="0"/>
          <w:numId w:val="10"/>
        </w:numPr>
        <w:keepLines/>
        <w:widowControl/>
      </w:pPr>
      <w:r>
        <w:t>Force one answer to change the cohort, control, evidence threshold, or expansion target on the board.</w:t>
      </w:r>
    </w:p>
    <w:p>
      <w:pPr>
        <w:numPr>
          <w:ilvl w:val="0"/>
          <w:numId w:val="10"/>
        </w:numPr>
        <w:keepLines/>
        <w:widowControl/>
      </w:pPr>
      <w:r>
        <w:t>Ask a role-specific question in every major segment.</w:t>
      </w:r>
    </w:p>
    <w:p>
      <w:pPr>
        <w:numPr>
          <w:ilvl w:val="0"/>
          <w:numId w:val="10"/>
        </w:numPr>
        <w:keepLines/>
        <w:widowControl/>
      </w:pPr>
      <w:r>
        <w:t>Practice checking in with a quiet interviewer by name.</w:t>
      </w:r>
    </w:p>
    <w:p>
      <w:pPr>
        <w:numPr>
          <w:ilvl w:val="0"/>
          <w:numId w:val="10"/>
        </w:numPr>
        <w:keepLines/>
        <w:widowControl/>
      </w:pPr>
      <w:r>
        <w:t>Practice naming and arbitrating one RD-versus-FE tension.</w:t>
      </w:r>
    </w:p>
    <w:p>
      <w:pPr>
        <w:numPr>
          <w:ilvl w:val="0"/>
          <w:numId w:val="10"/>
        </w:numPr>
        <w:keepLines/>
        <w:widowControl/>
      </w:pPr>
      <w:r>
        <w:t>Return to the agenda out loud after each objection.</w:t>
      </w:r>
    </w:p>
    <w:p>
      <w:pPr>
        <w:numPr>
          <w:ilvl w:val="0"/>
          <w:numId w:val="10"/>
        </w:numPr>
        <w:keepLines/>
        <w:widowControl/>
      </w:pPr>
      <w:r>
        <w:t>Run one compressed 25-minute rehearsal from the three-decision skeleton with no session-card text visible.</w:t>
      </w:r>
    </w:p>
    <w:p>
      <w:pPr>
        <w:pStyle w:val="Heading2"/>
        <w:keepNext/>
        <w:keepLines/>
        <w:widowControl/>
      </w:pPr>
      <w:r>
        <w:t>Rehearsal pass 3 — Failure recovery</w:t>
      </w:r>
    </w:p>
    <w:p>
      <w:pPr>
        <w:numPr>
          <w:ilvl w:val="0"/>
          <w:numId w:val="10"/>
        </w:numPr>
        <w:keepLines/>
        <w:widowControl/>
      </w:pPr>
      <w:r>
        <w:t>Run the demo from a fresh Cursor window and new Agent conversation.</w:t>
      </w:r>
    </w:p>
    <w:p>
      <w:pPr>
        <w:numPr>
          <w:ilvl w:val="0"/>
          <w:numId w:val="10"/>
        </w:numPr>
        <w:keepLines/>
        <w:widowControl/>
      </w:pPr>
      <w:r>
        <w:t>Verify all commands are discoverable; rehearse opening the command file directly.</w:t>
      </w:r>
    </w:p>
    <w:p>
      <w:pPr>
        <w:numPr>
          <w:ilvl w:val="0"/>
          <w:numId w:val="10"/>
        </w:numPr>
        <w:keepLines/>
        <w:widowControl/>
      </w:pPr>
      <w:r>
        <w:t>Time the demo twice: target 8–10 minutes; hard cap 12.</w:t>
      </w:r>
    </w:p>
    <w:p>
      <w:pPr>
        <w:numPr>
          <w:ilvl w:val="0"/>
          <w:numId w:val="10"/>
        </w:numPr>
        <w:keepLines/>
        <w:widowControl/>
      </w:pPr>
      <w:r>
        <w:t>Practice the session-minute-16 bailout: name remaining commands and move to the operating loop.</w:t>
      </w:r>
    </w:p>
    <w:p>
      <w:pPr>
        <w:numPr>
          <w:ilvl w:val="0"/>
          <w:numId w:val="10"/>
        </w:numPr>
        <w:keepLines/>
        <w:widowControl/>
      </w:pPr>
      <w:r>
        <w:t>Practice the slow-command recovery sentence.</w:t>
      </w:r>
    </w:p>
    <w:p>
      <w:pPr>
        <w:numPr>
          <w:ilvl w:val="0"/>
          <w:numId w:val="10"/>
        </w:numPr>
        <w:keepLines/>
        <w:widowControl/>
      </w:pPr>
      <w:r>
        <w:t>Open the pre-generated metrics dashboard and the completed IndexOf evidence chain.</w:t>
      </w:r>
    </w:p>
    <w:p>
      <w:pPr>
        <w:numPr>
          <w:ilvl w:val="0"/>
          <w:numId w:val="10"/>
        </w:numPr>
        <w:keepLines/>
        <w:widowControl/>
      </w:pPr>
      <w:r>
        <w:t>Keep the staged MCP, new-joiner mode, and drift-automation designs reachable if the room asks.</w:t>
      </w:r>
    </w:p>
    <w:p>
      <w:pPr>
        <w:pStyle w:val="Heading2"/>
        <w:keepNext/>
        <w:keepLines/>
        <w:widowControl/>
      </w:pPr>
      <w:r>
        <w:t>Day before</w:t>
      </w:r>
    </w:p>
    <w:p>
      <w:pPr>
        <w:numPr>
          <w:ilvl w:val="0"/>
          <w:numId w:val="10"/>
        </w:numPr>
        <w:keepLines/>
        <w:widowControl/>
      </w:pPr>
      <w:r>
        <w:t>Send the engagement email only after the hiring manager and subject line are confirmed.</w:t>
      </w:r>
    </w:p>
    <w:p>
      <w:pPr>
        <w:numPr>
          <w:ilvl w:val="0"/>
          <w:numId w:val="10"/>
        </w:numPr>
        <w:keepLines/>
        <w:widowControl/>
      </w:pPr>
      <w:r>
        <w:t>Re-read technical-screen notes; expect prior gaps or challenges to return.</w:t>
      </w:r>
    </w:p>
    <w:p>
      <w:pPr>
        <w:numPr>
          <w:ilvl w:val="0"/>
          <w:numId w:val="10"/>
        </w:numPr>
        <w:keepLines/>
        <w:widowControl/>
      </w:pPr>
      <w:r>
        <w:t>Confirm the exact branch, repository state, and fallback artifacts.</w:t>
      </w:r>
    </w:p>
    <w:p>
      <w:pPr>
        <w:numPr>
          <w:ilvl w:val="0"/>
          <w:numId w:val="10"/>
        </w:numPr>
        <w:keepLines/>
        <w:widowControl/>
      </w:pPr>
      <w:r>
        <w:t>Prepare Cursor and the editable board; verify its 1600×900 canvas is readable at meeting resolution.</w:t>
      </w:r>
    </w:p>
    <w:p>
      <w:pPr>
        <w:numPr>
          <w:ilvl w:val="0"/>
          <w:numId w:val="10"/>
        </w:numPr>
        <w:keepLines/>
        <w:widowControl/>
      </w:pPr>
      <w:r>
        <w:t>Keep the static board image, metrics dashboard, and completed proof chain as fallbacks; disable notifications.</w:t>
      </w:r>
    </w:p>
    <w:p>
      <w:pPr>
        <w:numPr>
          <w:ilvl w:val="0"/>
          <w:numId w:val="10"/>
        </w:numPr>
        <w:keepLines/>
        <w:widowControl/>
      </w:pPr>
      <w:r>
        <w:t>Sleep. Clarity and interaction matter more than one additional slide.</w:t>
      </w:r>
    </w:p>
    <w:p>
      <w:pPr>
        <w:pStyle w:val="Heading2"/>
        <w:keepNext/>
        <w:keepLines/>
        <w:widowControl/>
      </w:pPr>
      <w:r>
        <w:t>Day of</w:t>
      </w:r>
    </w:p>
    <w:p>
      <w:pPr>
        <w:numPr>
          <w:ilvl w:val="0"/>
          <w:numId w:val="10"/>
        </w:numPr>
        <w:keepLines/>
        <w:widowControl/>
      </w:pPr>
      <w:r>
        <w:t>Keep the stakeholder names and roles visible.</w:t>
      </w:r>
    </w:p>
    <w:p>
      <w:pPr>
        <w:numPr>
          <w:ilvl w:val="0"/>
          <w:numId w:val="10"/>
        </w:numPr>
        <w:keepLines/>
        <w:widowControl/>
      </w:pPr>
      <w:r>
        <w:t>Start with the working contract; do not apologize for asking the interviewers to flex roles.</w:t>
      </w:r>
    </w:p>
    <w:p>
      <w:pPr>
        <w:numPr>
          <w:ilvl w:val="0"/>
          <w:numId w:val="10"/>
        </w:numPr>
        <w:keepLines/>
        <w:widowControl/>
      </w:pPr>
      <w:r>
        <w:t>State assumptions before presenting recommendations as settled.</w:t>
      </w:r>
    </w:p>
    <w:p>
      <w:pPr>
        <w:numPr>
          <w:ilvl w:val="0"/>
          <w:numId w:val="10"/>
        </w:numPr>
        <w:keepLines/>
        <w:widowControl/>
      </w:pPr>
      <w:r>
        <w:t>Share the entire screen and type short decisions into the board yourself; do not ask interviewers to co-edit.</w:t>
      </w:r>
    </w:p>
    <w:p>
      <w:pPr>
        <w:numPr>
          <w:ilvl w:val="0"/>
          <w:numId w:val="10"/>
        </w:numPr>
        <w:keepLines/>
        <w:widowControl/>
      </w:pPr>
      <w:r>
        <w:t>Stop at the planned approval gate in the live artifact.</w:t>
      </w:r>
    </w:p>
    <w:p>
      <w:pPr>
        <w:numPr>
          <w:ilvl w:val="0"/>
          <w:numId w:val="10"/>
        </w:numPr>
        <w:keepLines/>
        <w:widowControl/>
      </w:pPr>
      <w:r>
        <w:t>End at 45 minutes with the next action, then receive feedback visibly and without rebuttal.</w:t>
      </w:r>
    </w:p>
    <w:p>
      <w:pPr>
        <w:widowContro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pPr>
    </w:p>
    <w:p>
      <w:pPr>
        <w:pStyle w:val="Heading1"/>
        <w:keepNext/>
        <w:keepLines/>
        <w:widowControl/>
      </w:pPr>
      <w:r>
        <w:t>13. Final one-page memory sheet</w:t>
      </w:r>
    </w:p>
    <w:p>
      <w:pPr>
        <w:pStyle w:val="LeadCallout"/>
        <w:shd w:fill="E8F4F2"/>
        <w:pBdr>
          <w:left w:val="single" w:sz="18" w:space="7" w:color="2E7D79"/>
        </w:pBdr>
        <w:keepLines/>
        <w:widowControl/>
      </w:pPr>
      <w:r>
        <w:rPr>
          <w:b/>
          <w:color w:val="2E7D79"/>
        </w:rPr>
        <w:t xml:space="preserve">North star  </w:t>
      </w:r>
      <w:r>
        <w:t>One team. One accepted outcome definition. Three measures. Human-gated workflow. Customer ownership. One evidence-based expansion decision.</w:t>
      </w:r>
    </w:p>
    <w:tbl>
      <w:tblPr>
        <w:tblStyle w:val="TableGrid"/>
        <w:tblW w:type="dxa" w:w="13968"/>
        <w:jc w:val="left"/>
        <w:tblLayout w:type="fixed"/>
        <w:tblLook w:firstColumn="1" w:firstRow="1" w:lastColumn="0" w:lastRow="0" w:noHBand="0" w:noVBand="1" w:val="04A0"/>
        <w:tblInd w:type="dxa" w:w="100"/>
      </w:tblPr>
      <w:tblGrid>
        <w:gridCol w:w="2050"/>
        <w:gridCol w:w="6100"/>
        <w:gridCol w:w="5818"/>
      </w:tblGrid>
      <w:tr>
        <w:trPr>
          <w:trHeight w:hRule="auto"/>
          <w:tblHeader w:val="true"/>
        </w:trPr>
        <w:tc>
          <w:tcPr>
            <w:tcW w:type="dxa" w:w="2050"/>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vAlign w:val="center"/>
          </w:tcPr>
          <w:p>
            <w:pPr>
              <w:widowControl/>
              <w:spacing w:after="0"/>
            </w:pPr>
            <w:r/>
            <w:r>
              <w:rPr>
                <w:rFonts w:ascii="Calibri" w:hAnsi="Calibri"/>
                <w:b/>
                <w:color w:val="FFFFFF"/>
                <w:sz w:val="17"/>
              </w:rPr>
              <w:t>Anchor</w:t>
            </w:r>
          </w:p>
        </w:tc>
        <w:tc>
          <w:tcPr>
            <w:tcW w:type="dxa" w:w="6100"/>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vAlign w:val="center"/>
          </w:tcPr>
          <w:p>
            <w:pPr>
              <w:widowControl/>
              <w:spacing w:after="0"/>
            </w:pPr>
            <w:r/>
            <w:r>
              <w:rPr>
                <w:rFonts w:ascii="Calibri" w:hAnsi="Calibri"/>
                <w:b/>
                <w:color w:val="FFFFFF"/>
                <w:sz w:val="17"/>
              </w:rPr>
              <w:t>Remember</w:t>
            </w:r>
          </w:p>
        </w:tc>
        <w:tc>
          <w:tcPr>
            <w:tcW w:type="dxa" w:w="5818"/>
            <w:shd w:fill="173B57"/>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vAlign w:val="center"/>
          </w:tcPr>
          <w:p>
            <w:pPr>
              <w:widowControl/>
              <w:spacing w:after="0"/>
            </w:pPr>
            <w:r/>
            <w:r>
              <w:rPr>
                <w:rFonts w:ascii="Calibri" w:hAnsi="Calibri"/>
                <w:b/>
                <w:color w:val="FFFFFF"/>
                <w:sz w:val="17"/>
              </w:rPr>
              <w:t>Why</w:t>
            </w:r>
          </w:p>
        </w:tc>
      </w:tr>
      <w:tr>
        <w:trPr>
          <w:trHeight w:hRule="auto"/>
        </w:trPr>
        <w:tc>
          <w:tcPr>
            <w:tcW w:type="dxa" w:w="20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Diagnosis</w:t>
            </w:r>
          </w:p>
        </w:tc>
        <w:tc>
          <w:tcPr>
            <w:tcW w:type="dxa" w:w="6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Standardization and proof—not primarily seat activation.</w:t>
            </w:r>
          </w:p>
        </w:tc>
        <w:tc>
          <w:tcPr>
            <w:tcW w:type="dxa" w:w="5818"/>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Keeps the plan connected to Finance and renewal.</w:t>
            </w:r>
          </w:p>
        </w:tc>
      </w:tr>
      <w:tr>
        <w:trPr>
          <w:trHeight w:hRule="auto"/>
        </w:trPr>
        <w:tc>
          <w:tcPr>
            <w:tcW w:type="dxa" w:w="20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Wedge</w:t>
            </w:r>
          </w:p>
        </w:tc>
        <w:tc>
          <w:tcPr>
            <w:tcW w:type="dxa" w:w="6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High-adoption 12-person team; six-week onboarding bottleneck.</w:t>
            </w:r>
          </w:p>
        </w:tc>
        <w:tc>
          <w:tcPr>
            <w:tcW w:type="dxa" w:w="5818"/>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Tests workflow value without basic adoption as the main variable.</w:t>
            </w:r>
          </w:p>
        </w:tc>
      </w:tr>
      <w:tr>
        <w:trPr>
          <w:trHeight w:hRule="auto"/>
        </w:trPr>
        <w:tc>
          <w:tcPr>
            <w:tcW w:type="dxa" w:w="20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Champion ladder</w:t>
            </w:r>
          </w:p>
        </w:tc>
        <w:tc>
          <w:tcPr>
            <w:tcW w:type="dxa" w:w="6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Maya Chen (Staff Engineer) builds; David Park (Engineering Manager) owns; Priya Nair (Director of Engineering) decides.</w:t>
            </w:r>
          </w:p>
        </w:tc>
        <w:tc>
          <w:tcPr>
            <w:tcW w:type="dxa" w:w="5818"/>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Combines technical trust, authority, and executive reach.</w:t>
            </w:r>
          </w:p>
        </w:tc>
      </w:tr>
      <w:tr>
        <w:trPr>
          <w:trHeight w:hRule="auto"/>
        </w:trPr>
        <w:tc>
          <w:tcPr>
            <w:tcW w:type="dxa" w:w="20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Visible co-creation</w:t>
            </w:r>
          </w:p>
        </w:tc>
        <w:tc>
          <w:tcPr>
            <w:tcW w:type="dxa" w:w="6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Use four board cards: renewal proof, pilot change, owner, next move; one answer must change the plan.</w:t>
            </w:r>
          </w:p>
        </w:tc>
        <w:tc>
          <w:tcPr>
            <w:tcW w:type="dxa" w:w="5818"/>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The handout scores the reasoning process, not only the final answer.</w:t>
            </w:r>
          </w:p>
        </w:tc>
      </w:tr>
      <w:tr>
        <w:trPr>
          <w:trHeight w:hRule="auto"/>
        </w:trPr>
        <w:tc>
          <w:tcPr>
            <w:tcW w:type="dxa" w:w="20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Target + measures</w:t>
            </w:r>
          </w:p>
        </w:tc>
        <w:tc>
          <w:tcPr>
            <w:tcW w:type="dxa" w:w="6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42 days toward 14, not promised; first meaningful PR, rework, design-to-deploy.</w:t>
            </w:r>
          </w:p>
        </w:tc>
        <w:tc>
          <w:tcPr>
            <w:tcW w:type="dxa" w:w="5818"/>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Tests speed, quality, and production reach under a falsifiable target.</w:t>
            </w:r>
          </w:p>
        </w:tc>
      </w:tr>
      <w:tr>
        <w:trPr>
          <w:trHeight w:hRule="auto"/>
        </w:trPr>
        <w:tc>
          <w:tcPr>
            <w:tcW w:type="dxa" w:w="20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Evidence labels</w:t>
            </w:r>
          </w:p>
        </w:tc>
        <w:tc>
          <w:tcPr>
            <w:tcW w:type="dxa" w:w="6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Observed; historical baseline; proxy; hypothesis.</w:t>
            </w:r>
          </w:p>
        </w:tc>
        <w:tc>
          <w:tcPr>
            <w:tcW w:type="dxa" w:w="5818"/>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Makes the weight of every claim explicit.</w:t>
            </w:r>
          </w:p>
        </w:tc>
      </w:tr>
      <w:tr>
        <w:trPr>
          <w:trHeight w:hRule="auto"/>
        </w:trPr>
        <w:tc>
          <w:tcPr>
            <w:tcW w:type="dxa" w:w="20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Model policy</w:t>
            </w:r>
          </w:p>
        </w:tc>
        <w:tc>
          <w:tcPr>
            <w:tcW w:type="dxa" w:w="6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Inherited read-only plan; approval; composer-2.5 implementation; inherited read-only review.</w:t>
            </w:r>
          </w:p>
        </w:tc>
        <w:tc>
          <w:tcPr>
            <w:tcW w:type="dxa" w:w="5818"/>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Routes by phase, risk, capability, and cost; the allowlist is the boundary.</w:t>
            </w:r>
          </w:p>
        </w:tc>
      </w:tr>
      <w:tr>
        <w:trPr>
          <w:trHeight w:hRule="auto"/>
        </w:trPr>
        <w:tc>
          <w:tcPr>
            <w:tcW w:type="dxa" w:w="20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Enforcement ladder</w:t>
            </w:r>
          </w:p>
        </w:tc>
        <w:tc>
          <w:tcPr>
            <w:tcW w:type="dxa" w:w="6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Assistive → paved road → tool policy → deterministic CI → independent review.</w:t>
            </w:r>
          </w:p>
        </w:tc>
        <w:tc>
          <w:tcPr>
            <w:tcW w:type="dxa" w:w="5818"/>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Prevents rules, routing, policy, CI, and judgment from being conflated.</w:t>
            </w:r>
          </w:p>
        </w:tc>
      </w:tr>
      <w:tr>
        <w:trPr>
          <w:trHeight w:hRule="auto"/>
        </w:trPr>
        <w:tc>
          <w:tcPr>
            <w:tcW w:type="dxa" w:w="20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Hard guardrail</w:t>
            </w:r>
          </w:p>
        </w:tc>
        <w:tc>
          <w:tcPr>
            <w:tcW w:type="dxa" w:w="6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Speed does not count if quality worsens; rules and routing are not security controls.</w:t>
            </w:r>
          </w:p>
        </w:tc>
        <w:tc>
          <w:tcPr>
            <w:tcW w:type="dxa" w:w="5818"/>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Prevents downstream cost or bypassable defaults from masquerading as trust.</w:t>
            </w:r>
          </w:p>
        </w:tc>
      </w:tr>
      <w:tr>
        <w:trPr>
          <w:trHeight w:hRule="auto"/>
        </w:trPr>
        <w:tc>
          <w:tcPr>
            <w:tcW w:type="dxa" w:w="20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Ownership test</w:t>
            </w:r>
          </w:p>
        </w:tc>
        <w:tc>
          <w:tcPr>
            <w:tcW w:type="dxa" w:w="6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Product, quality, platform, and engineering owners each change an artifact; a second engineer reruns it.</w:t>
            </w:r>
          </w:p>
        </w:tc>
        <w:tc>
          <w:tcPr>
            <w:tcW w:type="dxa" w:w="5818"/>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Makes cross-functional handoff observable instead of ceremonial.</w:t>
            </w:r>
          </w:p>
        </w:tc>
      </w:tr>
      <w:tr>
        <w:trPr>
          <w:trHeight w:hRule="auto"/>
        </w:trPr>
        <w:tc>
          <w:tcPr>
            <w:tcW w:type="dxa" w:w="20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Factory path</w:t>
            </w:r>
          </w:p>
        </w:tc>
        <w:tc>
          <w:tcPr>
            <w:tcW w:type="dxa" w:w="6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Repeatable pilot → connected governance → bounded automation.</w:t>
            </w:r>
          </w:p>
        </w:tc>
        <w:tc>
          <w:tcPr>
            <w:tcW w:type="dxa" w:w="5818"/>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Makes the wedge a governed production line while autonomy remains earned.</w:t>
            </w:r>
          </w:p>
        </w:tc>
      </w:tr>
      <w:tr>
        <w:trPr>
          <w:trHeight w:hRule="auto"/>
        </w:trPr>
        <w:tc>
          <w:tcPr>
            <w:tcW w:type="dxa" w:w="20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Proof boundary</w:t>
            </w:r>
          </w:p>
        </w:tc>
        <w:tc>
          <w:tcPr>
            <w:tcW w:type="dxa" w:w="6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Technical feasibility ≠ customer impact; usage telemetry ≠ outcome evidence; n=1 ≠ cohort median.</w:t>
            </w:r>
          </w:p>
        </w:tc>
        <w:tc>
          <w:tcPr>
            <w:tcW w:type="dxa" w:w="5818"/>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Protects credibility in the demo and renewal.</w:t>
            </w:r>
          </w:p>
        </w:tc>
      </w:tr>
      <w:tr>
        <w:trPr>
          <w:trHeight w:hRule="auto"/>
        </w:trPr>
        <w:tc>
          <w:tcPr>
            <w:tcW w:type="dxa" w:w="20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Renewal inventory</w:t>
            </w:r>
          </w:p>
        </w:tc>
        <w:tc>
          <w:tcPr>
            <w:tcW w:type="dxa" w:w="6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Historical baseline, honestly labeled pilot curve, owned workflow, second-team test in flight.</w:t>
            </w:r>
          </w:p>
        </w:tc>
        <w:tc>
          <w:tcPr>
            <w:tcW w:type="dxa" w:w="5818"/>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Funds expansion of a working pattern without pretending the study is complete.</w:t>
            </w:r>
          </w:p>
        </w:tc>
      </w:tr>
      <w:tr>
        <w:trPr>
          <w:trHeight w:hRule="auto"/>
        </w:trPr>
        <w:tc>
          <w:tcPr>
            <w:tcW w:type="dxa" w:w="205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Recovery questions</w:t>
            </w:r>
          </w:p>
        </w:tc>
        <w:tc>
          <w:tcPr>
            <w:tcW w:type="dxa" w:w="6100"/>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What decision? Who owns it? What evidence changes it? What guardrail? What must work without the SA?</w:t>
            </w:r>
          </w:p>
        </w:tc>
        <w:tc>
          <w:tcPr>
            <w:tcW w:type="dxa" w:w="5818"/>
            <w:vAlign w:val="center"/>
            <w:shd w:fill="F8FAFC"/>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Returns a drifting conversation to judgment and action.</w:t>
            </w:r>
          </w:p>
        </w:tc>
      </w:tr>
      <w:tr>
        <w:trPr>
          <w:trHeight w:hRule="auto"/>
        </w:trPr>
        <w:tc>
          <w:tcPr>
            <w:tcW w:type="dxa" w:w="205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color w:val="1D2730"/>
                <w:sz w:val="16"/>
              </w:rPr>
              <w:t>Do first</w:t>
            </w:r>
          </w:p>
        </w:tc>
        <w:tc>
          <w:tcPr>
            <w:tcW w:type="dxa" w:w="6100"/>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Fresh-window subagent dispatch, approval stop, composer variant, reviewer delegation, inline fallback.</w:t>
            </w:r>
          </w:p>
        </w:tc>
        <w:tc>
          <w:tcPr>
            <w:tcW w:type="dxa" w:w="5818"/>
            <w:vAlign w:val="center"/>
            <w:tcBorders>
              <w:top w:val="single" w:sz="4" w:space="0" w:color="D7DEE5"/>
              <w:left w:val="single" w:sz="4" w:space="0" w:color="D7DEE5"/>
              <w:bottom w:val="single" w:sz="4" w:space="0" w:color="D7DEE5"/>
              <w:right w:val="single" w:sz="4" w:space="0" w:color="D7DEE5"/>
              <w:insideH w:val="single" w:sz="4" w:space="0" w:color="D7DEE5"/>
              <w:insideV w:val="single" w:sz="4" w:space="0" w:color="D7DEE5"/>
            </w:tcBorders>
            <w:tcMar>
              <w:top w:w="70" w:type="dxa"/>
              <w:bottom w:w="70" w:type="dxa"/>
              <w:start w:w="100" w:type="dxa"/>
              <w:end w:w="100" w:type="dxa"/>
            </w:tcMar>
          </w:tcPr>
          <w:p>
            <w:pPr>
              <w:widowControl/>
              <w:spacing w:before="0" w:after="0" w:line="240" w:lineRule="auto"/>
            </w:pPr>
            <w:r/>
            <w:r>
              <w:rPr>
                <w:rFonts w:ascii="Calibri" w:hAnsi="Calibri"/>
                <w:b w:val="0"/>
                <w:color w:val="1D2730"/>
                <w:sz w:val="16"/>
              </w:rPr>
              <w:t>Prevents docs-versus-product drift from turning into an interview overclaim.</w:t>
            </w:r>
          </w:p>
        </w:tc>
      </w:tr>
    </w:tbl>
    <w:p>
      <w:pPr>
        <w:pStyle w:val="CompactNote"/>
        <w:keepLines/>
        <w:widowControl/>
      </w:pPr>
      <w:r>
        <w:rPr>
          <w:i w:val="0"/>
        </w:rPr>
        <w:t>Final posture: be specific without pretending certainty; commercial without weakening technical truth; technical without turning the session into a tour; collaborative while still naming the tradeoff and recommending a path.</w:t>
      </w:r>
    </w:p>
    <w:p>
      <w:pPr>
        <w:pStyle w:val="CompactNote"/>
        <w:keepLines/>
        <w:widowControl/>
      </w:pPr>
      <w:r>
        <w:rPr>
          <w:i w:val="0"/>
        </w:rPr>
        <w:t>Source basis: the v2.2 challenge handout, README.md, AGENT_HANDOFF.md, WORKING_SESSION_CARD.md, DEMO_RUN.md, Q_AND_A.md, INTERVIEW_LOOP.md, ENGAGEMENT_EMAIL.md, CHECKLIST.md, and the working-session board in ./challenge-prep.</w:t>
      </w:r>
    </w:p>
    <w:sectPr w:rsidR="00FC693F" w:rsidRPr="0006063C" w:rsidSect="00034616">
      <w:pgSz w:w="15840" w:h="12240" w:orient="landscape"/>
      <w:pgMar w:top="936" w:right="936" w:bottom="936" w:left="936"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5E6B75"/>
        <w:sz w:val="17"/>
      </w:rPr>
      <w:t xml:space="preserve">PREPARATION PACK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5E6B75"/>
        <w:sz w:val="17"/>
      </w:rPr>
      <w:t>CURSOR FINAL CHALLENGE  /  STUDY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D27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5E6B7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spacing w:before="140" w:after="160" w:line="288" w:lineRule="auto"/>
      <w:ind w:left="259" w:right="115"/>
    </w:pPr>
    <w:rPr>
      <w:rFonts w:ascii="Calibri" w:hAnsi="Calibri"/>
      <w:color w:val="173B57"/>
      <w:sz w:val="22"/>
    </w:rPr>
  </w:style>
  <w:style w:type="paragraph" w:customStyle="1" w:styleId="CompactNote">
    <w:name w:val="Compact Note"/>
    <w:pPr>
      <w:spacing w:before="60" w:after="100" w:line="276" w:lineRule="auto"/>
    </w:pPr>
    <w:rPr>
      <w:rFonts w:ascii="Calibri" w:hAnsi="Calibri"/>
      <w:color w:val="5E6B75"/>
      <w:sz w:val="19"/>
    </w:rPr>
  </w:style>
  <w:style w:type="paragraph" w:customStyle="1" w:styleId="CommandBlock">
    <w:name w:val="Command Block"/>
    <w:pPr>
      <w:spacing w:before="100" w:after="160" w:line="252" w:lineRule="auto"/>
      <w:ind w:left="259" w:right="259"/>
    </w:pPr>
    <w:rPr>
      <w:rFonts w:ascii="Aptos Mono" w:hAnsi="Aptos Mono"/>
      <w:color w:val="1D273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Cursor Final Challenge Study Guide</dc:title>
  <dc:subject>Preparation guide synthesized from ./challenge-prep</dc:subject>
  <dc:creator>OpenAI Codex</dc:creator>
  <cp:keywords>Cursor, final challenge, solutions architect, Acme, study guide</cp:keywords>
  <dc:description>generated by python-docx</dc:description>
  <cp:lastModifiedBy/>
  <cp:revision>1</cp:revision>
  <dcterms:created xsi:type="dcterms:W3CDTF">2013-12-23T23:15:00Z</dcterms:created>
  <dcterms:modified xsi:type="dcterms:W3CDTF">2013-12-23T23:15:00Z</dcterms:modified>
  <cp:category/>
</cp:coreProperties>
</file>