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3FA290" w14:textId="77777777" w:rsidR="004836D6" w:rsidRDefault="009C2A65">
      <w:pPr>
        <w:pStyle w:val="Title"/>
      </w:pPr>
      <w:r>
        <w:t>Manual de usuario de BikeEnergyLab</w:t>
      </w:r>
    </w:p>
    <w:p w14:paraId="6F4C4779" w14:textId="77777777" w:rsidR="004836D6" w:rsidRDefault="009C2A65">
      <w:r>
        <w:t>Versión 1.0.0   •   6 de octubre de 2026</w:t>
      </w:r>
    </w:p>
    <w:p w14:paraId="5C5EF301" w14:textId="77777777" w:rsidR="004836D6" w:rsidRDefault="009C2A65">
      <w:r>
        <w:t>Francisco Javier Burgos Flórez</w:t>
      </w:r>
      <w:r>
        <w:br/>
        <w:t>Juan Guillermo Popayán Hernández</w:t>
      </w:r>
      <w:r>
        <w:br/>
        <w:t>fjburgosf@gmail.com</w:t>
      </w:r>
    </w:p>
    <w:p w14:paraId="419D458E" w14:textId="77777777" w:rsidR="004836D6" w:rsidRDefault="009C2A65">
      <w:r>
        <w:t>Este manual guía al usuario desde abrir el programa y practicar con ejemplos hasta configurar su bicicleta, simular, interpretar resultados, calibrar y exportar. El menú Ejemplos y el tutorial integrado permiten comenzar sin preparar archivos de datos.</w:t>
      </w:r>
    </w:p>
    <w:p w14:paraId="49822A68" w14:textId="77777777" w:rsidR="004836D6" w:rsidRDefault="009C2A65">
      <w:r>
        <w:t>Los datos de práctica y los experimentos de esta entrega son sintéticos. La verificación de software no establece precisión con bicicletas reales.</w:t>
      </w:r>
    </w:p>
    <w:p w14:paraId="21A1BF1C" w14:textId="77777777" w:rsidR="004836D6" w:rsidRDefault="009C2A65">
      <w:r>
        <w:rPr>
          <w:b/>
          <w:sz w:val="28"/>
        </w:rPr>
        <w:t>Contenido</w:t>
      </w:r>
    </w:p>
    <w:p w14:paraId="23419761" w14:textId="027D246B" w:rsidR="00D6685D" w:rsidRDefault="009C2A65">
      <w:pPr>
        <w:pStyle w:val="TOC1"/>
        <w:tabs>
          <w:tab w:val="right" w:leader="dot" w:pos="9350"/>
        </w:tabs>
        <w:rPr>
          <w:rFonts w:asciiTheme="minorHAnsi" w:hAnsiTheme="minorHAnsi"/>
          <w:noProof/>
          <w:color w:val="auto"/>
          <w:kern w:val="2"/>
          <w:sz w:val="24"/>
          <w:szCs w:val="24"/>
          <w:lang w:eastAsia="es-CO"/>
          <w14:ligatures w14:val="standardContextual"/>
        </w:rPr>
      </w:pPr>
      <w:r>
        <w:fldChar w:fldCharType="begin"/>
      </w:r>
      <w:r>
        <w:instrText xml:space="preserve"> TOC \o "1-1" \h \z \u </w:instrText>
      </w:r>
      <w:r w:rsidR="00D6685D">
        <w:fldChar w:fldCharType="separate"/>
      </w:r>
      <w:hyperlink w:anchor="_Toc242177588" w:history="1">
        <w:r w:rsidR="00D6685D" w:rsidRPr="00A2760C">
          <w:rPr>
            <w:rStyle w:val="Hyperlink"/>
            <w:noProof/>
          </w:rPr>
          <w:t>Abrir la distribución portátil</w:t>
        </w:r>
        <w:r w:rsidR="00D6685D">
          <w:rPr>
            <w:noProof/>
            <w:webHidden/>
          </w:rPr>
          <w:tab/>
        </w:r>
        <w:r w:rsidR="00D6685D">
          <w:rPr>
            <w:noProof/>
            <w:webHidden/>
          </w:rPr>
          <w:fldChar w:fldCharType="begin"/>
        </w:r>
        <w:r w:rsidR="00D6685D">
          <w:rPr>
            <w:noProof/>
            <w:webHidden/>
          </w:rPr>
          <w:instrText xml:space="preserve"> PAGEREF _Toc242177588 \h </w:instrText>
        </w:r>
        <w:r w:rsidR="00D6685D">
          <w:rPr>
            <w:noProof/>
            <w:webHidden/>
          </w:rPr>
        </w:r>
        <w:r w:rsidR="00D6685D">
          <w:rPr>
            <w:noProof/>
            <w:webHidden/>
          </w:rPr>
          <w:fldChar w:fldCharType="separate"/>
        </w:r>
        <w:r w:rsidR="00D6685D">
          <w:rPr>
            <w:noProof/>
            <w:webHidden/>
          </w:rPr>
          <w:t>2</w:t>
        </w:r>
        <w:r w:rsidR="00D6685D">
          <w:rPr>
            <w:noProof/>
            <w:webHidden/>
          </w:rPr>
          <w:fldChar w:fldCharType="end"/>
        </w:r>
      </w:hyperlink>
    </w:p>
    <w:p w14:paraId="26592102" w14:textId="695979C2" w:rsidR="00D6685D" w:rsidRDefault="00D6685D">
      <w:pPr>
        <w:pStyle w:val="TOC1"/>
        <w:tabs>
          <w:tab w:val="right" w:leader="dot" w:pos="9350"/>
        </w:tabs>
        <w:rPr>
          <w:rFonts w:asciiTheme="minorHAnsi" w:hAnsiTheme="minorHAnsi"/>
          <w:noProof/>
          <w:color w:val="auto"/>
          <w:kern w:val="2"/>
          <w:sz w:val="24"/>
          <w:szCs w:val="24"/>
          <w:lang w:eastAsia="es-CO"/>
          <w14:ligatures w14:val="standardContextual"/>
        </w:rPr>
      </w:pPr>
      <w:hyperlink w:anchor="_Toc242177589" w:history="1">
        <w:r w:rsidRPr="00A2760C">
          <w:rPr>
            <w:rStyle w:val="Hyperlink"/>
            <w:noProof/>
          </w:rPr>
          <w:t>Empezar con ejemplos y tutorial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_Toc242177589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454091E" w14:textId="428888B7" w:rsidR="00D6685D" w:rsidRDefault="00D6685D">
      <w:pPr>
        <w:pStyle w:val="TOC1"/>
        <w:tabs>
          <w:tab w:val="right" w:leader="dot" w:pos="9350"/>
        </w:tabs>
        <w:rPr>
          <w:rFonts w:asciiTheme="minorHAnsi" w:hAnsiTheme="minorHAnsi"/>
          <w:noProof/>
          <w:color w:val="auto"/>
          <w:kern w:val="2"/>
          <w:sz w:val="24"/>
          <w:szCs w:val="24"/>
          <w:lang w:eastAsia="es-CO"/>
          <w14:ligatures w14:val="standardContextual"/>
        </w:rPr>
      </w:pPr>
      <w:hyperlink w:anchor="_Toc242177590" w:history="1">
        <w:r w:rsidRPr="00A2760C">
          <w:rPr>
            <w:rStyle w:val="Hyperlink"/>
            <w:noProof/>
          </w:rPr>
          <w:t>Flujo de trabajo completo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_Toc242177590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6EE90FF" w14:textId="72802B11" w:rsidR="00D6685D" w:rsidRDefault="00D6685D">
      <w:pPr>
        <w:pStyle w:val="TOC1"/>
        <w:tabs>
          <w:tab w:val="right" w:leader="dot" w:pos="9350"/>
        </w:tabs>
        <w:rPr>
          <w:rFonts w:asciiTheme="minorHAnsi" w:hAnsiTheme="minorHAnsi"/>
          <w:noProof/>
          <w:color w:val="auto"/>
          <w:kern w:val="2"/>
          <w:sz w:val="24"/>
          <w:szCs w:val="24"/>
          <w:lang w:eastAsia="es-CO"/>
          <w14:ligatures w14:val="standardContextual"/>
        </w:rPr>
      </w:pPr>
      <w:hyperlink w:anchor="_Toc242177591" w:history="1">
        <w:r w:rsidRPr="00A2760C">
          <w:rPr>
            <w:rStyle w:val="Hyperlink"/>
            <w:noProof/>
          </w:rPr>
          <w:t>Comandos útiles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_Toc242177591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93D8351" w14:textId="55A5AB21" w:rsidR="00D6685D" w:rsidRDefault="00D6685D">
      <w:pPr>
        <w:pStyle w:val="TOC1"/>
        <w:tabs>
          <w:tab w:val="right" w:leader="dot" w:pos="9350"/>
        </w:tabs>
        <w:rPr>
          <w:rFonts w:asciiTheme="minorHAnsi" w:hAnsiTheme="minorHAnsi"/>
          <w:noProof/>
          <w:color w:val="auto"/>
          <w:kern w:val="2"/>
          <w:sz w:val="24"/>
          <w:szCs w:val="24"/>
          <w:lang w:eastAsia="es-CO"/>
          <w14:ligatures w14:val="standardContextual"/>
        </w:rPr>
      </w:pPr>
      <w:hyperlink w:anchor="_Toc242177592" w:history="1">
        <w:r w:rsidRPr="00A2760C">
          <w:rPr>
            <w:rStyle w:val="Hyperlink"/>
            <w:noProof/>
          </w:rPr>
          <w:t>Autoría y condiciones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_Toc242177592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B238C72" w14:textId="77E39DDA" w:rsidR="004836D6" w:rsidRDefault="009C2A65">
      <w:r>
        <w:fldChar w:fldCharType="end"/>
      </w:r>
    </w:p>
    <w:p w14:paraId="7DCFD07F" w14:textId="77777777" w:rsidR="004836D6" w:rsidRDefault="009C2A65">
      <w:r>
        <w:br w:type="page"/>
      </w:r>
    </w:p>
    <w:p w14:paraId="287E853C" w14:textId="77777777" w:rsidR="004836D6" w:rsidRDefault="009C2A65">
      <w:pPr>
        <w:pStyle w:val="Heading1"/>
      </w:pPr>
      <w:bookmarkStart w:id="0" w:name="_Toc242177588"/>
      <w:r>
        <w:lastRenderedPageBreak/>
        <w:t>Abrir la distribución portátil</w:t>
      </w:r>
      <w:bookmarkEnd w:id="0"/>
    </w:p>
    <w:p w14:paraId="18CA1442" w14:textId="77777777" w:rsidR="004836D6" w:rsidRDefault="009C2A65">
      <w:r>
        <w:t>Extraiga toda la carpeta BikeEnergyLab del ZIP y abra BikeEnergyLab.exe. Conserve _internal junto al ejecutable. Esta distribución Windows x64 incluye las dependencias y funciona sin instalar Python ni conectarse a Internet. Si usa la API o CLI Python, instale Python 3.11 o superior y las dependencias indicadas en README.md.</w:t>
      </w:r>
    </w:p>
    <w:p w14:paraId="1B77EA11" w14:textId="77777777" w:rsidR="004836D6" w:rsidRDefault="009C2A65">
      <w:pPr>
        <w:pStyle w:val="Heading1"/>
      </w:pPr>
      <w:bookmarkStart w:id="1" w:name="_Toc242177589"/>
      <w:r>
        <w:t>Empezar con ejemplos y tutorial</w:t>
      </w:r>
      <w:bookmarkEnd w:id="1"/>
    </w:p>
    <w:p w14:paraId="625B4998" w14:textId="77777777" w:rsidR="004836D6" w:rsidRDefault="009C2A65">
      <w:r>
        <w:t xml:space="preserve">Desde </w:t>
      </w:r>
      <w:r>
        <w:rPr>
          <w:b/>
        </w:rPr>
        <w:t>Inicio</w:t>
      </w:r>
      <w:r>
        <w:t xml:space="preserve"> o el botón </w:t>
      </w:r>
      <w:r>
        <w:rPr>
          <w:b/>
        </w:rPr>
        <w:t>Ejemplos</w:t>
      </w:r>
      <w:r>
        <w:t xml:space="preserve"> de la barra superior, seleccione un caso en el menú desplegable. Cada ejemplo explica sus parámetros y qué observar. </w:t>
      </w:r>
      <w:r>
        <w:rPr>
          <w:b/>
        </w:rPr>
        <w:t>Cargar ejemplo</w:t>
      </w:r>
      <w:r>
        <w:t xml:space="preserve"> prepara la configuración para inspeccionarla o modificarla; después, </w:t>
      </w:r>
      <w:r>
        <w:rPr>
          <w:b/>
        </w:rPr>
        <w:t>Simular</w:t>
      </w:r>
      <w:r>
        <w:t xml:space="preserve"> ejecuta el procedimiento del ejemplo activo con los parámetros actuales. El flujo tiene dos acciones: </w:t>
      </w:r>
      <w:r>
        <w:rPr>
          <w:b/>
        </w:rPr>
        <w:t>Cargar ejemplo</w:t>
      </w:r>
      <w:r>
        <w:t xml:space="preserve"> y </w:t>
      </w:r>
      <w:r>
        <w:rPr>
          <w:b/>
        </w:rPr>
        <w:t>Simular</w:t>
      </w:r>
      <w:r>
        <w:t>. Cargar reemplaza los parámetros en pantalla, el último resultado y el modelo híbrido activo. Los archivos previamente guardados se conservan.</w:t>
      </w:r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024"/>
        <w:gridCol w:w="6336"/>
      </w:tblGrid>
      <w:tr w:rsidR="004836D6" w14:paraId="5B7E315B" w14:textId="77777777">
        <w:trPr>
          <w:cantSplit/>
          <w:tblHeader/>
        </w:trPr>
        <w:tc>
          <w:tcPr>
            <w:tcW w:w="3024" w:type="dxa"/>
            <w:shd w:val="clear" w:color="auto" w:fill="36454F"/>
            <w:tcMar>
              <w:top w:w="75" w:type="dxa"/>
              <w:left w:w="105" w:type="dxa"/>
              <w:bottom w:w="75" w:type="dxa"/>
              <w:right w:w="105" w:type="dxa"/>
            </w:tcMar>
            <w:vAlign w:val="center"/>
          </w:tcPr>
          <w:p w14:paraId="632327A1" w14:textId="77777777" w:rsidR="004836D6" w:rsidRDefault="009C2A65">
            <w:pPr>
              <w:spacing w:after="0" w:line="252" w:lineRule="auto"/>
            </w:pPr>
            <w:r>
              <w:rPr>
                <w:b/>
                <w:color w:val="FFFFFF"/>
                <w:sz w:val="20"/>
              </w:rPr>
              <w:t>Ejemplo</w:t>
            </w:r>
          </w:p>
        </w:tc>
        <w:tc>
          <w:tcPr>
            <w:tcW w:w="6336" w:type="dxa"/>
            <w:shd w:val="clear" w:color="auto" w:fill="36454F"/>
            <w:tcMar>
              <w:top w:w="75" w:type="dxa"/>
              <w:left w:w="105" w:type="dxa"/>
              <w:bottom w:w="75" w:type="dxa"/>
              <w:right w:w="105" w:type="dxa"/>
            </w:tcMar>
            <w:vAlign w:val="center"/>
          </w:tcPr>
          <w:p w14:paraId="56B43C67" w14:textId="77777777" w:rsidR="004836D6" w:rsidRDefault="009C2A65">
            <w:pPr>
              <w:spacing w:after="0" w:line="252" w:lineRule="auto"/>
            </w:pPr>
            <w:r>
              <w:rPr>
                <w:b/>
                <w:color w:val="FFFFFF"/>
                <w:sz w:val="20"/>
              </w:rPr>
              <w:t>Qué permite practicar</w:t>
            </w:r>
          </w:p>
        </w:tc>
      </w:tr>
      <w:tr w:rsidR="004836D6" w14:paraId="126EB1EE" w14:textId="77777777">
        <w:trPr>
          <w:cantSplit/>
        </w:trPr>
        <w:tc>
          <w:tcPr>
            <w:tcW w:w="3024" w:type="dxa"/>
            <w:shd w:val="clear" w:color="auto" w:fill="FFFFFF"/>
            <w:tcMar>
              <w:top w:w="75" w:type="dxa"/>
              <w:left w:w="105" w:type="dxa"/>
              <w:bottom w:w="75" w:type="dxa"/>
              <w:right w:w="105" w:type="dxa"/>
            </w:tcMar>
            <w:vAlign w:val="center"/>
          </w:tcPr>
          <w:p w14:paraId="13384627" w14:textId="77777777" w:rsidR="004836D6" w:rsidRDefault="009C2A65">
            <w:pPr>
              <w:spacing w:after="0" w:line="252" w:lineRule="auto"/>
            </w:pPr>
            <w:r>
              <w:rPr>
                <w:sz w:val="20"/>
              </w:rPr>
              <w:t>01 · Ruta plana</w:t>
            </w:r>
          </w:p>
        </w:tc>
        <w:tc>
          <w:tcPr>
            <w:tcW w:w="6336" w:type="dxa"/>
            <w:shd w:val="clear" w:color="auto" w:fill="FFFFFF"/>
            <w:tcMar>
              <w:top w:w="75" w:type="dxa"/>
              <w:left w:w="105" w:type="dxa"/>
              <w:bottom w:w="75" w:type="dxa"/>
              <w:right w:w="105" w:type="dxa"/>
            </w:tcMar>
            <w:vAlign w:val="center"/>
          </w:tcPr>
          <w:p w14:paraId="70E814B1" w14:textId="77777777" w:rsidR="004836D6" w:rsidRDefault="009C2A65">
            <w:pPr>
              <w:spacing w:after="0" w:line="252" w:lineRule="auto"/>
            </w:pPr>
            <w:r>
              <w:rPr>
                <w:sz w:val="20"/>
              </w:rPr>
              <w:t>Primer cálculo: 3 km, 6 m/s y 50 W humanos</w:t>
            </w:r>
          </w:p>
        </w:tc>
      </w:tr>
      <w:tr w:rsidR="004836D6" w14:paraId="695E9F80" w14:textId="77777777">
        <w:trPr>
          <w:cantSplit/>
        </w:trPr>
        <w:tc>
          <w:tcPr>
            <w:tcW w:w="3024" w:type="dxa"/>
            <w:shd w:val="clear" w:color="auto" w:fill="F1F3F4"/>
            <w:tcMar>
              <w:top w:w="75" w:type="dxa"/>
              <w:left w:w="105" w:type="dxa"/>
              <w:bottom w:w="75" w:type="dxa"/>
              <w:right w:w="105" w:type="dxa"/>
            </w:tcMar>
            <w:vAlign w:val="center"/>
          </w:tcPr>
          <w:p w14:paraId="3BACB308" w14:textId="77777777" w:rsidR="004836D6" w:rsidRDefault="009C2A65">
            <w:pPr>
              <w:spacing w:after="0" w:line="252" w:lineRule="auto"/>
            </w:pPr>
            <w:r>
              <w:rPr>
                <w:sz w:val="20"/>
              </w:rPr>
              <w:t>02 · Subida del 3%</w:t>
            </w:r>
          </w:p>
        </w:tc>
        <w:tc>
          <w:tcPr>
            <w:tcW w:w="6336" w:type="dxa"/>
            <w:shd w:val="clear" w:color="auto" w:fill="F1F3F4"/>
            <w:tcMar>
              <w:top w:w="75" w:type="dxa"/>
              <w:left w:w="105" w:type="dxa"/>
              <w:bottom w:w="75" w:type="dxa"/>
              <w:right w:w="105" w:type="dxa"/>
            </w:tcMar>
            <w:vAlign w:val="center"/>
          </w:tcPr>
          <w:p w14:paraId="6B5CFCE4" w14:textId="77777777" w:rsidR="004836D6" w:rsidRDefault="009C2A65">
            <w:pPr>
              <w:spacing w:after="0" w:line="252" w:lineRule="auto"/>
            </w:pPr>
            <w:r>
              <w:rPr>
                <w:sz w:val="20"/>
              </w:rPr>
              <w:t>Demanda gravitacional a 5 m/s</w:t>
            </w:r>
          </w:p>
        </w:tc>
      </w:tr>
      <w:tr w:rsidR="004836D6" w14:paraId="024918FC" w14:textId="77777777">
        <w:trPr>
          <w:cantSplit/>
        </w:trPr>
        <w:tc>
          <w:tcPr>
            <w:tcW w:w="3024" w:type="dxa"/>
            <w:shd w:val="clear" w:color="auto" w:fill="FFFFFF"/>
            <w:tcMar>
              <w:top w:w="75" w:type="dxa"/>
              <w:left w:w="105" w:type="dxa"/>
              <w:bottom w:w="75" w:type="dxa"/>
              <w:right w:w="105" w:type="dxa"/>
            </w:tcMar>
            <w:vAlign w:val="center"/>
          </w:tcPr>
          <w:p w14:paraId="6E19E842" w14:textId="77777777" w:rsidR="004836D6" w:rsidRDefault="009C2A65">
            <w:pPr>
              <w:spacing w:after="0" w:line="252" w:lineRule="auto"/>
            </w:pPr>
            <w:r>
              <w:rPr>
                <w:sz w:val="20"/>
              </w:rPr>
              <w:t>03 · Viento frontal</w:t>
            </w:r>
          </w:p>
        </w:tc>
        <w:tc>
          <w:tcPr>
            <w:tcW w:w="6336" w:type="dxa"/>
            <w:shd w:val="clear" w:color="auto" w:fill="FFFFFF"/>
            <w:tcMar>
              <w:top w:w="75" w:type="dxa"/>
              <w:left w:w="105" w:type="dxa"/>
              <w:bottom w:w="75" w:type="dxa"/>
              <w:right w:w="105" w:type="dxa"/>
            </w:tcMar>
            <w:vAlign w:val="center"/>
          </w:tcPr>
          <w:p w14:paraId="72F0285B" w14:textId="77777777" w:rsidR="004836D6" w:rsidRDefault="009C2A65">
            <w:pPr>
              <w:spacing w:after="0" w:line="252" w:lineRule="auto"/>
            </w:pPr>
            <w:r>
              <w:rPr>
                <w:sz w:val="20"/>
              </w:rPr>
              <w:t>Comparar −3 m/s con la ruta plana</w:t>
            </w:r>
          </w:p>
        </w:tc>
      </w:tr>
      <w:tr w:rsidR="004836D6" w14:paraId="212A7B54" w14:textId="77777777">
        <w:trPr>
          <w:cantSplit/>
        </w:trPr>
        <w:tc>
          <w:tcPr>
            <w:tcW w:w="3024" w:type="dxa"/>
            <w:shd w:val="clear" w:color="auto" w:fill="F1F3F4"/>
            <w:tcMar>
              <w:top w:w="75" w:type="dxa"/>
              <w:left w:w="105" w:type="dxa"/>
              <w:bottom w:w="75" w:type="dxa"/>
              <w:right w:w="105" w:type="dxa"/>
            </w:tcMar>
            <w:vAlign w:val="center"/>
          </w:tcPr>
          <w:p w14:paraId="49501AA4" w14:textId="77777777" w:rsidR="004836D6" w:rsidRDefault="009C2A65">
            <w:pPr>
              <w:spacing w:after="0" w:line="252" w:lineRule="auto"/>
            </w:pPr>
            <w:r>
              <w:rPr>
                <w:sz w:val="20"/>
              </w:rPr>
              <w:t>04 · Mayor aporte humano</w:t>
            </w:r>
          </w:p>
        </w:tc>
        <w:tc>
          <w:tcPr>
            <w:tcW w:w="6336" w:type="dxa"/>
            <w:shd w:val="clear" w:color="auto" w:fill="F1F3F4"/>
            <w:tcMar>
              <w:top w:w="75" w:type="dxa"/>
              <w:left w:w="105" w:type="dxa"/>
              <w:bottom w:w="75" w:type="dxa"/>
              <w:right w:w="105" w:type="dxa"/>
            </w:tcMar>
            <w:vAlign w:val="center"/>
          </w:tcPr>
          <w:p w14:paraId="211AEE08" w14:textId="77777777" w:rsidR="004836D6" w:rsidRDefault="009C2A65">
            <w:pPr>
              <w:spacing w:after="0" w:line="252" w:lineRule="auto"/>
            </w:pPr>
            <w:r>
              <w:rPr>
                <w:sz w:val="20"/>
              </w:rPr>
              <w:t>Comparar 120 W con 50 W en pedales</w:t>
            </w:r>
          </w:p>
        </w:tc>
      </w:tr>
      <w:tr w:rsidR="004836D6" w14:paraId="2310FD69" w14:textId="77777777">
        <w:trPr>
          <w:cantSplit/>
        </w:trPr>
        <w:tc>
          <w:tcPr>
            <w:tcW w:w="3024" w:type="dxa"/>
            <w:shd w:val="clear" w:color="auto" w:fill="FFFFFF"/>
            <w:tcMar>
              <w:top w:w="75" w:type="dxa"/>
              <w:left w:w="105" w:type="dxa"/>
              <w:bottom w:w="75" w:type="dxa"/>
              <w:right w:w="105" w:type="dxa"/>
            </w:tcMar>
            <w:vAlign w:val="center"/>
          </w:tcPr>
          <w:p w14:paraId="75CA17DC" w14:textId="77777777" w:rsidR="004836D6" w:rsidRDefault="009C2A65">
            <w:pPr>
              <w:spacing w:after="0" w:line="252" w:lineRule="auto"/>
            </w:pPr>
            <w:r>
              <w:rPr>
                <w:sz w:val="20"/>
              </w:rPr>
              <w:t>05 · Ambiente frío</w:t>
            </w:r>
          </w:p>
        </w:tc>
        <w:tc>
          <w:tcPr>
            <w:tcW w:w="6336" w:type="dxa"/>
            <w:shd w:val="clear" w:color="auto" w:fill="FFFFFF"/>
            <w:tcMar>
              <w:top w:w="75" w:type="dxa"/>
              <w:left w:w="105" w:type="dxa"/>
              <w:bottom w:w="75" w:type="dxa"/>
              <w:right w:w="105" w:type="dxa"/>
            </w:tcMar>
            <w:vAlign w:val="center"/>
          </w:tcPr>
          <w:p w14:paraId="650244A9" w14:textId="77777777" w:rsidR="004836D6" w:rsidRDefault="009C2A65">
            <w:pPr>
              <w:spacing w:after="0" w:line="252" w:lineRule="auto"/>
            </w:pPr>
            <w:r>
              <w:rPr>
                <w:sz w:val="20"/>
              </w:rPr>
              <w:t>Densidad del aire a 0 °C; sin curva térmica de batería</w:t>
            </w:r>
          </w:p>
        </w:tc>
      </w:tr>
      <w:tr w:rsidR="004836D6" w14:paraId="02024E04" w14:textId="77777777">
        <w:trPr>
          <w:cantSplit/>
        </w:trPr>
        <w:tc>
          <w:tcPr>
            <w:tcW w:w="3024" w:type="dxa"/>
            <w:shd w:val="clear" w:color="auto" w:fill="F1F3F4"/>
            <w:tcMar>
              <w:top w:w="75" w:type="dxa"/>
              <w:left w:w="105" w:type="dxa"/>
              <w:bottom w:w="75" w:type="dxa"/>
              <w:right w:w="105" w:type="dxa"/>
            </w:tcMar>
            <w:vAlign w:val="center"/>
          </w:tcPr>
          <w:p w14:paraId="5DD65BD7" w14:textId="77777777" w:rsidR="004836D6" w:rsidRDefault="009C2A65">
            <w:pPr>
              <w:spacing w:after="0" w:line="252" w:lineRule="auto"/>
            </w:pPr>
            <w:r>
              <w:rPr>
                <w:sz w:val="20"/>
              </w:rPr>
              <w:t>06 · Calibración sintética</w:t>
            </w:r>
          </w:p>
        </w:tc>
        <w:tc>
          <w:tcPr>
            <w:tcW w:w="6336" w:type="dxa"/>
            <w:shd w:val="clear" w:color="auto" w:fill="F1F3F4"/>
            <w:tcMar>
              <w:top w:w="75" w:type="dxa"/>
              <w:left w:w="105" w:type="dxa"/>
              <w:bottom w:w="75" w:type="dxa"/>
              <w:right w:w="105" w:type="dxa"/>
            </w:tcMar>
            <w:vAlign w:val="center"/>
          </w:tcPr>
          <w:p w14:paraId="038E37E0" w14:textId="77777777" w:rsidR="004836D6" w:rsidRDefault="009C2A65">
            <w:pPr>
              <w:spacing w:after="0" w:line="252" w:lineRule="auto"/>
            </w:pPr>
            <w:r>
              <w:rPr>
                <w:sz w:val="20"/>
              </w:rPr>
              <w:t>Recuperar Crr = 0.008 y CdA = 0.48 m² con 40 rutas</w:t>
            </w:r>
          </w:p>
        </w:tc>
      </w:tr>
      <w:tr w:rsidR="004836D6" w14:paraId="6A20182E" w14:textId="77777777">
        <w:trPr>
          <w:cantSplit/>
        </w:trPr>
        <w:tc>
          <w:tcPr>
            <w:tcW w:w="3024" w:type="dxa"/>
            <w:shd w:val="clear" w:color="auto" w:fill="FFFFFF"/>
            <w:tcMar>
              <w:top w:w="75" w:type="dxa"/>
              <w:left w:w="105" w:type="dxa"/>
              <w:bottom w:w="75" w:type="dxa"/>
              <w:right w:w="105" w:type="dxa"/>
            </w:tcMar>
            <w:vAlign w:val="center"/>
          </w:tcPr>
          <w:p w14:paraId="2D77A76D" w14:textId="77777777" w:rsidR="004836D6" w:rsidRDefault="009C2A65">
            <w:pPr>
              <w:spacing w:after="0" w:line="252" w:lineRule="auto"/>
            </w:pPr>
            <w:r>
              <w:rPr>
                <w:sz w:val="20"/>
              </w:rPr>
              <w:t>07 · Viento incierto y autonomía</w:t>
            </w:r>
          </w:p>
        </w:tc>
        <w:tc>
          <w:tcPr>
            <w:tcW w:w="6336" w:type="dxa"/>
            <w:shd w:val="clear" w:color="auto" w:fill="FFFFFF"/>
            <w:tcMar>
              <w:top w:w="75" w:type="dxa"/>
              <w:left w:w="105" w:type="dxa"/>
              <w:bottom w:w="75" w:type="dxa"/>
              <w:right w:w="105" w:type="dxa"/>
            </w:tcMar>
            <w:vAlign w:val="center"/>
          </w:tcPr>
          <w:p w14:paraId="625ECE60" w14:textId="77777777" w:rsidR="004836D6" w:rsidRDefault="009C2A65">
            <w:pPr>
              <w:spacing w:after="0" w:line="252" w:lineRule="auto"/>
            </w:pPr>
            <w:r>
              <w:rPr>
                <w:sz w:val="20"/>
              </w:rPr>
              <w:t>30 muestras; dispersión y horizonte de 80 km</w:t>
            </w:r>
          </w:p>
        </w:tc>
      </w:tr>
      <w:tr w:rsidR="004836D6" w14:paraId="69047020" w14:textId="77777777">
        <w:trPr>
          <w:cantSplit/>
        </w:trPr>
        <w:tc>
          <w:tcPr>
            <w:tcW w:w="3024" w:type="dxa"/>
            <w:shd w:val="clear" w:color="auto" w:fill="F1F3F4"/>
            <w:tcMar>
              <w:top w:w="75" w:type="dxa"/>
              <w:left w:w="105" w:type="dxa"/>
              <w:bottom w:w="75" w:type="dxa"/>
              <w:right w:w="105" w:type="dxa"/>
            </w:tcMar>
            <w:vAlign w:val="center"/>
          </w:tcPr>
          <w:p w14:paraId="6C4C9EB6" w14:textId="77777777" w:rsidR="004836D6" w:rsidRDefault="009C2A65">
            <w:pPr>
              <w:spacing w:after="0" w:line="252" w:lineRule="auto"/>
            </w:pPr>
            <w:r>
              <w:rPr>
                <w:sz w:val="20"/>
              </w:rPr>
              <w:t>08 · Modelo híbrido CGPRA</w:t>
            </w:r>
          </w:p>
        </w:tc>
        <w:tc>
          <w:tcPr>
            <w:tcW w:w="6336" w:type="dxa"/>
            <w:shd w:val="clear" w:color="auto" w:fill="F1F3F4"/>
            <w:tcMar>
              <w:top w:w="75" w:type="dxa"/>
              <w:left w:w="105" w:type="dxa"/>
              <w:bottom w:w="75" w:type="dxa"/>
              <w:right w:w="105" w:type="dxa"/>
            </w:tcMar>
            <w:vAlign w:val="center"/>
          </w:tcPr>
          <w:p w14:paraId="52718B93" w14:textId="77777777" w:rsidR="004836D6" w:rsidRDefault="009C2A65">
            <w:pPr>
              <w:spacing w:after="0" w:line="252" w:lineRule="auto"/>
            </w:pPr>
            <w:r>
              <w:rPr>
                <w:sz w:val="20"/>
              </w:rPr>
              <w:t>60 rutas de entrenamiento y 25 de intervalos independientes</w:t>
            </w:r>
          </w:p>
        </w:tc>
      </w:tr>
      <w:tr w:rsidR="004836D6" w14:paraId="44BFF7CC" w14:textId="77777777">
        <w:trPr>
          <w:cantSplit/>
        </w:trPr>
        <w:tc>
          <w:tcPr>
            <w:tcW w:w="3024" w:type="dxa"/>
            <w:shd w:val="clear" w:color="auto" w:fill="FFFFFF"/>
            <w:tcMar>
              <w:top w:w="75" w:type="dxa"/>
              <w:left w:w="105" w:type="dxa"/>
              <w:bottom w:w="75" w:type="dxa"/>
              <w:right w:w="105" w:type="dxa"/>
            </w:tcMar>
            <w:vAlign w:val="center"/>
          </w:tcPr>
          <w:p w14:paraId="6A4E60C7" w14:textId="77777777" w:rsidR="004836D6" w:rsidRDefault="009C2A65">
            <w:pPr>
              <w:spacing w:after="0" w:line="252" w:lineRule="auto"/>
            </w:pPr>
            <w:r>
              <w:rPr>
                <w:sz w:val="20"/>
              </w:rPr>
              <w:t>09 · ¿Alcanza la batería?</w:t>
            </w:r>
          </w:p>
        </w:tc>
        <w:tc>
          <w:tcPr>
            <w:tcW w:w="6336" w:type="dxa"/>
            <w:shd w:val="clear" w:color="auto" w:fill="FFFFFF"/>
            <w:tcMar>
              <w:top w:w="75" w:type="dxa"/>
              <w:left w:w="105" w:type="dxa"/>
              <w:bottom w:w="75" w:type="dxa"/>
              <w:right w:w="105" w:type="dxa"/>
            </w:tcMar>
            <w:vAlign w:val="center"/>
          </w:tcPr>
          <w:p w14:paraId="5BE3945F" w14:textId="77777777" w:rsidR="004836D6" w:rsidRDefault="009C2A65">
            <w:pPr>
              <w:spacing w:after="0" w:line="252" w:lineRule="auto"/>
            </w:pPr>
            <w:r>
              <w:rPr>
                <w:sz w:val="20"/>
              </w:rPr>
              <w:t>26 km, SOC inicial 38% y reserva 15%</w:t>
            </w:r>
          </w:p>
        </w:tc>
      </w:tr>
    </w:tbl>
    <w:p w14:paraId="13922D8C" w14:textId="77777777" w:rsidR="004836D6" w:rsidRDefault="004836D6">
      <w:pPr>
        <w:spacing w:after="120" w:line="100" w:lineRule="exact"/>
      </w:pPr>
    </w:p>
    <w:p w14:paraId="69E9FE91" w14:textId="77777777" w:rsidR="004836D6" w:rsidRDefault="009C2A65">
      <w:r>
        <w:t xml:space="preserve">El programa muestra </w:t>
      </w:r>
      <w:r>
        <w:rPr>
          <w:b/>
        </w:rPr>
        <w:t>Ejemplo activo</w:t>
      </w:r>
      <w:r>
        <w:t xml:space="preserve">. Cambiar la selección del desplegable no carga un caso: hay que pulsar </w:t>
      </w:r>
      <w:r>
        <w:rPr>
          <w:b/>
        </w:rPr>
        <w:t>Cargar ejemplo</w:t>
      </w:r>
      <w:r>
        <w:t xml:space="preserve"> y después </w:t>
      </w:r>
      <w:r>
        <w:rPr>
          <w:b/>
        </w:rPr>
        <w:t>Simular</w:t>
      </w:r>
      <w:r>
        <w:t xml:space="preserve">. En los ejemplos 01–05, Simular hace el cálculo físico; en el 06 ajusta parámetros; en el 07 y el 09 calcula incertidumbre y misión. En el 08 entrena e infiere la primera vez y reutiliza el modelo en las siguientes simulaciones. El modelo puede guardarse desde </w:t>
      </w:r>
      <w:r>
        <w:rPr>
          <w:b/>
        </w:rPr>
        <w:t>Modelo híbrido</w:t>
      </w:r>
      <w:r>
        <w:t>. Abrir otro YAML inicia un cálculo general, sin un ejemplo activo. Todos los datos de práctica son sintéticos.</w:t>
      </w:r>
    </w:p>
    <w:p w14:paraId="50D7EF0B" w14:textId="77777777" w:rsidR="004836D6" w:rsidRDefault="009C2A65">
      <w:r>
        <w:t xml:space="preserve">Pulse </w:t>
      </w:r>
      <w:r>
        <w:rPr>
          <w:b/>
        </w:rPr>
        <w:t>Tutorial</w:t>
      </w:r>
      <w:r>
        <w:t xml:space="preserve"> o </w:t>
      </w:r>
      <w:r>
        <w:rPr>
          <w:b/>
        </w:rPr>
        <w:t>Iniciar tutorial guiado</w:t>
      </w:r>
      <w:r>
        <w:t xml:space="preserve"> para abrir la guía integrada. Sus ocho pasos presentan la configuración, parámetros, ruta, simulación, lectura de resultados, incertidumbre, exportación y siguientes ejercicios. Use el botón de acción de cada paso para practicar y </w:t>
      </w:r>
      <w:r>
        <w:rPr>
          <w:b/>
        </w:rPr>
        <w:t>Anterior / Siguiente</w:t>
      </w:r>
      <w:r>
        <w:t xml:space="preserve"> para avanzar. El panel guía permanece visible mientras explora las secciones. Puede cerrarlo sin cerrar el programa y reiniciarlo desde la barra superior. Cambiar ES/EN mantiene el paso y la selección del ejemplo. Funciona sin conexión.</w:t>
      </w:r>
    </w:p>
    <w:p w14:paraId="06FA6832" w14:textId="77777777" w:rsidR="004836D6" w:rsidRDefault="009C2A65">
      <w:pPr>
        <w:pStyle w:val="Heading1"/>
      </w:pPr>
      <w:bookmarkStart w:id="2" w:name="_Toc242177590"/>
      <w:r>
        <w:lastRenderedPageBreak/>
        <w:t>Flujo de trabajo completo</w:t>
      </w:r>
      <w:bookmarkEnd w:id="2"/>
    </w:p>
    <w:p w14:paraId="4F7BE88E" w14:textId="77777777" w:rsidR="004836D6" w:rsidRDefault="009C2A65">
      <w:pPr>
        <w:pStyle w:val="Heading2"/>
      </w:pPr>
      <w:r>
        <w:t>Abrir</w:t>
      </w:r>
    </w:p>
    <w:p w14:paraId="5F9577BC" w14:textId="77777777" w:rsidR="004836D6" w:rsidRDefault="009C2A65">
      <w:r>
        <w:t xml:space="preserve">Abra el programa con </w:t>
      </w:r>
      <w:r>
        <w:rPr>
          <w:rFonts w:ascii="Consolas" w:hAnsi="Consolas"/>
          <w:sz w:val="20"/>
        </w:rPr>
        <w:t>bikeenergylab gui</w:t>
      </w:r>
      <w:r>
        <w:t>, el ejecutable Windows o la CLI. El selector ES/EN cambia la interfaz y las ayudas. Los nombres técnicos de columnas y parámetros son estables en ambos idiomas.</w:t>
      </w:r>
    </w:p>
    <w:p w14:paraId="041F5392" w14:textId="77777777" w:rsidR="004836D6" w:rsidRDefault="009C2A65">
      <w:pPr>
        <w:pStyle w:val="Heading2"/>
      </w:pPr>
      <w:r>
        <w:t>Bicicleta</w:t>
      </w:r>
    </w:p>
    <w:p w14:paraId="40D5CD93" w14:textId="77777777" w:rsidR="004836D6" w:rsidRDefault="009C2A65">
      <w:r>
        <w:t>Configure masas, CdA, Crr, radio y eficiencia. Los valores iniciales son supuestos; reemplácelos por mediciones. Superficies y curvas se editan en YAML.</w:t>
      </w:r>
    </w:p>
    <w:p w14:paraId="653C4975" w14:textId="77777777" w:rsidR="004836D6" w:rsidRDefault="009C2A65">
      <w:pPr>
        <w:pStyle w:val="Heading2"/>
      </w:pPr>
      <w:r>
        <w:t>Ciclista</w:t>
      </w:r>
    </w:p>
    <w:p w14:paraId="54DAEB2A" w14:textId="77777777" w:rsidR="004836D6" w:rsidRDefault="009C2A65">
      <w:r>
        <w:t>Defina masa y potencia en pedales. Use un valor constante, un perfil en CSV o el modo dependiente de cadencia/pendiente/fatiga con coeficientes explícitos.</w:t>
      </w:r>
    </w:p>
    <w:p w14:paraId="6D7C860B" w14:textId="77777777" w:rsidR="004836D6" w:rsidRDefault="009C2A65">
      <w:pPr>
        <w:pStyle w:val="Heading2"/>
      </w:pPr>
      <w:r>
        <w:t>Motor</w:t>
      </w:r>
    </w:p>
    <w:p w14:paraId="5D2F4164" w14:textId="77777777" w:rsidR="004836D6" w:rsidRDefault="009C2A65">
      <w:r>
        <w:t>Configure eficiencia constante o un mapa y sus límites. Asistencia demand sigue la demanda; proportional sigue el aporte humano. La regeneración solo se activa con hardware capaz. Los límites no representan automáticamente normativas.</w:t>
      </w:r>
    </w:p>
    <w:p w14:paraId="78EC7AA8" w14:textId="77777777" w:rsidR="004836D6" w:rsidRDefault="009C2A65">
      <w:pPr>
        <w:pStyle w:val="Heading2"/>
      </w:pPr>
      <w:r>
        <w:t>Batería</w:t>
      </w:r>
    </w:p>
    <w:p w14:paraId="232A7D5D" w14:textId="77777777" w:rsidR="004836D6" w:rsidRDefault="009C2A65">
      <w:r>
        <w:t xml:space="preserve">Indique Wh nominales, fracción efectiva, SOC inicial, reserva y SOC máximo. </w:t>
      </w:r>
      <w:r>
        <w:rPr>
          <w:rFonts w:ascii="Consolas" w:hAnsi="Consolas"/>
          <w:sz w:val="20"/>
        </w:rPr>
        <w:t>ecm</w:t>
      </w:r>
      <w:r>
        <w:t xml:space="preserve"> requiere capacidad Ah, OCV y resistencias de la batería concreta. Coeficientes térmicos ausentes significan ausencia de ese efecto en el modelo.</w:t>
      </w:r>
    </w:p>
    <w:p w14:paraId="301815DA" w14:textId="77777777" w:rsidR="004836D6" w:rsidRDefault="009C2A65">
      <w:pPr>
        <w:pStyle w:val="Heading2"/>
      </w:pPr>
      <w:r>
        <w:t>Ruta</w:t>
      </w:r>
    </w:p>
    <w:p w14:paraId="270B2776" w14:textId="77777777" w:rsidR="004836D6" w:rsidRDefault="009C2A65">
      <w:r>
        <w:t xml:space="preserve">Cree un perfil manual o importe CSV/GPX con elevación. CSV usa intervalos length_m/dt_s/speed_mps/grade. GPX con tiempos deriva velocidad; sin tiempos usa la velocidad indicada. El filtro mediano se registra. Pulse </w:t>
      </w:r>
      <w:r>
        <w:rPr>
          <w:b/>
        </w:rPr>
        <w:t>Visualizar ruta</w:t>
      </w:r>
      <w:r>
        <w:t xml:space="preserve"> para ver elevación, pendiente, velocidad y superficie. Las paradas GPX con tiempos se conservan; segmentos discontinuos requieren preparación explícita. Crear ruta manual aplica los tres campos editados.</w:t>
      </w:r>
    </w:p>
    <w:p w14:paraId="71F5967B" w14:textId="77777777" w:rsidR="004836D6" w:rsidRDefault="009C2A65">
      <w:pPr>
        <w:pStyle w:val="Heading2"/>
      </w:pPr>
      <w:r>
        <w:t>Ambiente</w:t>
      </w:r>
    </w:p>
    <w:p w14:paraId="759AEADC" w14:textId="77777777" w:rsidR="004836D6" w:rsidRDefault="009C2A65">
      <w:r>
        <w:t>Configure temperatura, viento (negativo frontal) y presión o densidad. Columnas temporales de ruta tienen prioridad sobre constantes.</w:t>
      </w:r>
    </w:p>
    <w:p w14:paraId="5330F5A1" w14:textId="77777777" w:rsidR="004836D6" w:rsidRDefault="009C2A65">
      <w:pPr>
        <w:pStyle w:val="Heading2"/>
      </w:pPr>
      <w:r>
        <w:t>Simular</w:t>
      </w:r>
    </w:p>
    <w:p w14:paraId="184BF722" w14:textId="77777777" w:rsidR="004836D6" w:rsidRDefault="009C2A65">
      <w:r>
        <w:t xml:space="preserve">Configure el paso de tiempo y los auxiliares; pulse Simular. El cálculo se realiza en segundo plano. Revise energía, SOC, distancia, </w:t>
      </w:r>
      <w:r>
        <w:rPr>
          <w:rFonts w:ascii="Consolas" w:hAnsi="Consolas"/>
          <w:sz w:val="20"/>
        </w:rPr>
        <w:t>completed_route</w:t>
      </w:r>
      <w:r>
        <w:t xml:space="preserve"> y </w:t>
      </w:r>
      <w:r>
        <w:rPr>
          <w:rFonts w:ascii="Consolas" w:hAnsi="Consolas"/>
          <w:sz w:val="20"/>
        </w:rPr>
        <w:t>feasible</w:t>
      </w:r>
      <w:r>
        <w:t xml:space="preserve">. Los controles de edición se bloquean durante el cálculo. Los formularios largos permiten desplazamiento vertical. Resultados ofrece pestañas y barra de zoom/guardado para explorar gráficas y un detalle </w:t>
      </w:r>
      <w:r>
        <w:lastRenderedPageBreak/>
        <w:t>JSON completo. Si falta potencia, el perfil solicitado requiere modificar velocidad, asistencia o aporte humano. Un perfil incompleto no demuestra que pueda completarse la misión al ritmo prescrito.</w:t>
      </w:r>
    </w:p>
    <w:p w14:paraId="35549E6E" w14:textId="77777777" w:rsidR="004836D6" w:rsidRDefault="009C2A65">
      <w:pPr>
        <w:pStyle w:val="Heading2"/>
      </w:pPr>
      <w:r>
        <w:t>Interpretar consumo</w:t>
      </w:r>
    </w:p>
    <w:p w14:paraId="0A4EBBF4" w14:textId="77777777" w:rsidR="004836D6" w:rsidRDefault="009C2A65">
      <w:r>
        <w:t>Wh/km es energía eléctrica neta por distancia recorrida. La descomposición conserva los signos e incluye pérdidas y frenado. El balance debe tener error numérico cercano a cero. Descensos no implican regeneración cuando está desactivada.</w:t>
      </w:r>
    </w:p>
    <w:p w14:paraId="098D38E4" w14:textId="77777777" w:rsidR="004836D6" w:rsidRDefault="009C2A65">
      <w:pPr>
        <w:pStyle w:val="Heading2"/>
      </w:pPr>
      <w:r>
        <w:t>Calibrar</w:t>
      </w:r>
    </w:p>
    <w:p w14:paraId="09CC2D9E" w14:textId="77777777" w:rsidR="004836D6" w:rsidRDefault="009C2A65">
      <w:r>
        <w:t xml:space="preserve">Cargue CSV de rutas independientes con energía observada total. Inspeccione el reporte de calidad e identificabilidad. Crr/CdA necesitan variación de velocidad y condiciones; repetir una ruta a velocidad fija puede confundirse. Un ajuste preciso no demuestra parámetros físicamente identificados. </w:t>
      </w:r>
      <w:r>
        <w:rPr>
          <w:b/>
        </w:rPr>
        <w:t>Convertir CSV de sensores</w:t>
      </w:r>
      <w:r>
        <w:t xml:space="preserve"> produce observaciones exportables a partir de tiempo/distancia/voltaje/corriente, conservando un informe de calidad.</w:t>
      </w:r>
    </w:p>
    <w:p w14:paraId="78FEAF02" w14:textId="77777777" w:rsidR="004836D6" w:rsidRDefault="009C2A65">
      <w:pPr>
        <w:pStyle w:val="Heading2"/>
      </w:pPr>
      <w:r>
        <w:t>Modelo híbrido</w:t>
      </w:r>
    </w:p>
    <w:p w14:paraId="5D8CCACC" w14:textId="77777777" w:rsidR="004836D6" w:rsidRDefault="009C2A65">
      <w:r>
        <w:t xml:space="preserve">Entrene CGPRA con al menos 40 rutas independientes para separar entrenamiento e intervalos. La demostración sintética está rotulada. Las siguientes simulaciones muestran predicción, alpha, soporte OOD e intervalo. Alpha bajo indica que domina la física calibrada, sin asegurar exactitud. Guardar modelo CGPRA crea una carpeta nueva con CSV/JSON y mapas necesarios. Abrir modelo CGPRA reconstruye y verifica el ajuste. Conservar la carpeta completa. </w:t>
      </w:r>
      <w:r>
        <w:rPr>
          <w:b/>
        </w:rPr>
        <w:t>Adaptar</w:t>
      </w:r>
      <w:r>
        <w:t xml:space="preserve"> usa rutas nuevas y descarta intervalos previos. </w:t>
      </w:r>
      <w:r>
        <w:rPr>
          <w:b/>
        </w:rPr>
        <w:t>Recalibrar intervalos</w:t>
      </w:r>
      <w:r>
        <w:t xml:space="preserve"> requiere rutas independientes frescas; véase adaptación (adaptive_workflow.md).</w:t>
      </w:r>
    </w:p>
    <w:p w14:paraId="7D4CE3AD" w14:textId="77777777" w:rsidR="004836D6" w:rsidRDefault="009C2A65">
      <w:pPr>
        <w:pStyle w:val="Heading2"/>
      </w:pPr>
      <w:r>
        <w:t>Incertidumbre</w:t>
      </w:r>
    </w:p>
    <w:p w14:paraId="09C74F73" w14:textId="77777777" w:rsidR="004836D6" w:rsidRDefault="009C2A65">
      <w:r>
        <w:t xml:space="preserve">Edite las distribuciones en YAML y pulse Aplicar YAML. Misión / autonomía devuelve simulaciones Monte Carlo físicas y probabilidad de éxito según la reserva. Revisar el horizonte y fracción de autonomía censurada. Con un CGPRA con calibración independiente vigente, también muestra energía predictiva de la ruta completa. </w:t>
      </w:r>
      <w:r>
        <w:rPr>
          <w:rFonts w:ascii="Consolas" w:hAnsi="Consolas"/>
          <w:sz w:val="20"/>
        </w:rPr>
        <w:t>energy_budget_probability</w:t>
      </w:r>
      <w:r>
        <w:t xml:space="preserve"> evalúa energía disponible; </w:t>
      </w:r>
      <w:r>
        <w:rPr>
          <w:rFonts w:ascii="Consolas" w:hAnsi="Consolas"/>
          <w:sz w:val="20"/>
        </w:rPr>
        <w:t>mission_probability</w:t>
      </w:r>
      <w:r>
        <w:t xml:space="preserve"> conserva la simulación física. Revisar casos no identificados, soporte OOD y supuestos de transferencia de errores en el flujo predictivo (predictive_workflow.md). Las bandas de SOC/energía son físicas y condicionales a llegar a cada punto; inspeccionar </w:t>
      </w:r>
      <w:r>
        <w:rPr>
          <w:rFonts w:ascii="Consolas" w:hAnsi="Consolas"/>
          <w:sz w:val="20"/>
        </w:rPr>
        <w:t>n_reached</w:t>
      </w:r>
      <w:r>
        <w:t xml:space="preserve"> cuando existen rutas agotadas. No extrapolan su SOC.</w:t>
      </w:r>
    </w:p>
    <w:p w14:paraId="3E3F9BF6" w14:textId="77777777" w:rsidR="004836D6" w:rsidRDefault="009C2A65">
      <w:pPr>
        <w:pStyle w:val="Heading2"/>
      </w:pPr>
      <w:r>
        <w:t>Misión con SOC 38 por ciento</w:t>
      </w:r>
    </w:p>
    <w:p w14:paraId="294EF426" w14:textId="77777777" w:rsidR="004836D6" w:rsidRDefault="009C2A65">
      <w:r>
        <w:t>Configure initial_soc=0.38, importe una ruta de 26 km, reserve_soc=0.15 y distribuciones justificadas. La probabilidad exige ruta completa, potencia suficiente y SOC final sobre la reserva.</w:t>
      </w:r>
    </w:p>
    <w:p w14:paraId="54F93018" w14:textId="77777777" w:rsidR="004836D6" w:rsidRDefault="009C2A65">
      <w:pPr>
        <w:pStyle w:val="Heading2"/>
      </w:pPr>
      <w:r>
        <w:t>Experimentos</w:t>
      </w:r>
    </w:p>
    <w:p w14:paraId="76B6DDD6" w14:textId="77777777" w:rsidR="004836D6" w:rsidRDefault="009C2A65">
      <w:r>
        <w:t>Ejecute benchmark ID/OOD o EXP-01–15 desde GUI/CLI y seleccione sensibilidad OAT/Spearman/Morris/Sobol. Lea los resultados positivos y negativos, coverage e interval width; no compare MAE entre datasets con unidades o particiones incompatibles.</w:t>
      </w:r>
    </w:p>
    <w:p w14:paraId="606941C4" w14:textId="77777777" w:rsidR="004836D6" w:rsidRDefault="009C2A65">
      <w:pPr>
        <w:pStyle w:val="Heading2"/>
      </w:pPr>
      <w:r>
        <w:lastRenderedPageBreak/>
        <w:t>Exportar</w:t>
      </w:r>
    </w:p>
    <w:p w14:paraId="410CF31D" w14:textId="77777777" w:rsidR="004836D6" w:rsidRDefault="009C2A65">
      <w:r>
        <w:t>Escoja una carpeta para el último resultado. La carpeta EXP contiene configuración, datos, metadatos, parámetros, tablas, figuras y logs. Conservar estos artefactos juntos para repetir el experimento. Configuraciones avanzadas se guardan con Guardar YAML; rutas importadas se copian en el export.</w:t>
      </w:r>
    </w:p>
    <w:p w14:paraId="28D7837E" w14:textId="77777777" w:rsidR="004836D6" w:rsidRDefault="009C2A65">
      <w:pPr>
        <w:pStyle w:val="Heading1"/>
      </w:pPr>
      <w:bookmarkStart w:id="3" w:name="_Toc242177591"/>
      <w:r>
        <w:t>Comandos útiles</w:t>
      </w:r>
      <w:bookmarkEnd w:id="3"/>
    </w:p>
    <w:p w14:paraId="6EDC3816" w14:textId="77777777" w:rsidR="004836D6" w:rsidRDefault="009C2A65">
      <w:pPr>
        <w:pStyle w:val="Code"/>
        <w:keepNext/>
        <w:rPr>
          <w:rFonts w:hint="eastAsia"/>
        </w:rPr>
      </w:pPr>
      <w:r>
        <w:t>bikeenergylab simulate configs/flat.yaml</w:t>
      </w:r>
    </w:p>
    <w:p w14:paraId="1160907E" w14:textId="77777777" w:rsidR="004836D6" w:rsidRDefault="009C2A65">
      <w:pPr>
        <w:pStyle w:val="Code"/>
        <w:keepNext/>
        <w:rPr>
          <w:rFonts w:hint="eastAsia"/>
        </w:rPr>
      </w:pPr>
      <w:r>
        <w:t>bikeenergylab uncertainty configs/flat.yaml</w:t>
      </w:r>
    </w:p>
    <w:p w14:paraId="4093E5D9" w14:textId="77777777" w:rsidR="004836D6" w:rsidRDefault="009C2A65">
      <w:pPr>
        <w:pStyle w:val="Code"/>
        <w:keepNext/>
        <w:rPr>
          <w:rFonts w:hint="eastAsia"/>
        </w:rPr>
      </w:pPr>
      <w:r>
        <w:t>bikeenergylab calibrate datasets/synthetic_calibration.csv</w:t>
      </w:r>
    </w:p>
    <w:p w14:paraId="04E598E4" w14:textId="77777777" w:rsidR="004836D6" w:rsidRDefault="009C2A65">
      <w:pPr>
        <w:pStyle w:val="Code"/>
        <w:keepNext/>
        <w:rPr>
          <w:rFonts w:hint="eastAsia"/>
        </w:rPr>
      </w:pPr>
      <w:r>
        <w:t>bikeenergylab benchmark configs/benchmark.yaml</w:t>
      </w:r>
    </w:p>
    <w:p w14:paraId="77271B3F" w14:textId="77777777" w:rsidR="004836D6" w:rsidRDefault="009C2A65">
      <w:pPr>
        <w:pStyle w:val="Code"/>
        <w:keepNext/>
        <w:rPr>
          <w:rFonts w:hint="eastAsia"/>
        </w:rPr>
      </w:pPr>
      <w:r>
        <w:t>bikeenergylab experiments configs/benchmark.yaml</w:t>
      </w:r>
    </w:p>
    <w:p w14:paraId="324D3779" w14:textId="77777777" w:rsidR="004836D6" w:rsidRDefault="009C2A65">
      <w:pPr>
        <w:pStyle w:val="Code"/>
        <w:keepNext/>
        <w:rPr>
          <w:rFonts w:hint="eastAsia"/>
        </w:rPr>
      </w:pPr>
      <w:r>
        <w:t>bikeenergylab quality datasets/telemetry_example.csv</w:t>
      </w:r>
    </w:p>
    <w:p w14:paraId="5755F2E6" w14:textId="77777777" w:rsidR="004836D6" w:rsidRDefault="009C2A65">
      <w:pPr>
        <w:pStyle w:val="Code"/>
        <w:keepNext/>
        <w:rPr>
          <w:rFonts w:hint="eastAsia"/>
        </w:rPr>
      </w:pPr>
      <w:r>
        <w:t>bikeenergylab train datasets/synthetic_calibration.csv --seed 42</w:t>
      </w:r>
    </w:p>
    <w:p w14:paraId="17544882" w14:textId="77777777" w:rsidR="004836D6" w:rsidRDefault="009C2A65">
      <w:pPr>
        <w:pStyle w:val="Code"/>
        <w:keepNext/>
        <w:rPr>
          <w:rFonts w:hint="eastAsia"/>
        </w:rPr>
      </w:pPr>
      <w:r>
        <w:t>bikeenergylab predictive-validation configs/predictive_validation.yaml</w:t>
      </w:r>
    </w:p>
    <w:p w14:paraId="176E6CBC" w14:textId="77777777" w:rsidR="004836D6" w:rsidRDefault="009C2A65">
      <w:pPr>
        <w:pStyle w:val="Code"/>
        <w:keepNext/>
        <w:rPr>
          <w:rFonts w:hint="eastAsia"/>
        </w:rPr>
      </w:pPr>
      <w:r>
        <w:t>bikeenergylab telemetry datasets/telemetry_example.csv</w:t>
      </w:r>
    </w:p>
    <w:p w14:paraId="024E230B" w14:textId="77777777" w:rsidR="004836D6" w:rsidRDefault="009C2A65">
      <w:pPr>
        <w:pStyle w:val="Code"/>
        <w:keepNext/>
        <w:rPr>
          <w:rFonts w:hint="eastAsia"/>
        </w:rPr>
      </w:pPr>
      <w:r>
        <w:t>bikeenergylab sensitivity configs/flat.yaml --method morris --samples 16</w:t>
      </w:r>
    </w:p>
    <w:p w14:paraId="0AA3200F" w14:textId="77777777" w:rsidR="004836D6" w:rsidRDefault="009C2A65">
      <w:pPr>
        <w:pStyle w:val="Code"/>
        <w:rPr>
          <w:rFonts w:hint="eastAsia"/>
        </w:rPr>
      </w:pPr>
      <w:r>
        <w:t>bikeenergylab prequential configs/adaptive_validation.yaml</w:t>
      </w:r>
    </w:p>
    <w:p w14:paraId="2F11A8BC" w14:textId="77777777" w:rsidR="004836D6" w:rsidRDefault="009C2A65">
      <w:r>
        <w:rPr>
          <w:rFonts w:ascii="Consolas" w:hAnsi="Consolas"/>
          <w:sz w:val="20"/>
        </w:rPr>
        <w:t>--output</w:t>
      </w:r>
      <w:r>
        <w:t xml:space="preserve"> elige carpeta. No se requieren mapas, cuentas, APIs ni conexión a internet para las simulaciones; instalar dependencias inicialmente sí puede requerir conexión. Los errores de unidades y configuración deben resolverse de forma explícita, sin modificar silenciosamente las mediciones.</w:t>
      </w:r>
    </w:p>
    <w:p w14:paraId="5382F121" w14:textId="77777777" w:rsidR="004836D6" w:rsidRDefault="009C2A65">
      <w:pPr>
        <w:pStyle w:val="Heading1"/>
      </w:pPr>
      <w:bookmarkStart w:id="4" w:name="_Toc242177592"/>
      <w:r>
        <w:t>Autoría y condiciones de uso</w:t>
      </w:r>
      <w:bookmarkEnd w:id="4"/>
    </w:p>
    <w:p w14:paraId="61695C76" w14:textId="77777777" w:rsidR="004836D6" w:rsidRDefault="009C2A65">
      <w:r>
        <w:t>Autores: Francisco Javier Burgos Flórez y Juan Guillermo Popayán Hernández. Contacto: fjburgosf@gmail.com. Conserve CITATION.cff para citar el software. Los derechos y condiciones de uso son los indicados en LICENSE; no se presume una licencia abierta.</w:t>
      </w:r>
    </w:p>
    <w:sectPr w:rsidR="004836D6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152" w:right="1440" w:bottom="1152" w:left="1440" w:header="504" w:footer="50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E2DAE8" w14:textId="77777777" w:rsidR="009C2A65" w:rsidRDefault="009C2A65">
      <w:pPr>
        <w:spacing w:after="0" w:line="240" w:lineRule="auto"/>
      </w:pPr>
      <w:r>
        <w:separator/>
      </w:r>
    </w:p>
  </w:endnote>
  <w:endnote w:type="continuationSeparator" w:id="0">
    <w:p w14:paraId="42CFC7B6" w14:textId="77777777" w:rsidR="009C2A65" w:rsidRDefault="009C2A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FE0BB" w14:textId="77777777" w:rsidR="00D6685D" w:rsidRDefault="00D6685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C77143" w14:textId="77777777" w:rsidR="004836D6" w:rsidRDefault="009C2A65">
    <w:pPr>
      <w:pStyle w:val="Footer"/>
      <w:jc w:val="right"/>
    </w:pPr>
    <w:r>
      <w:rPr>
        <w:sz w:val="18"/>
      </w:rPr>
      <w:t xml:space="preserve">Versión 1.0.0     Página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 w:rsidR="00D6685D">
      <w:rPr>
        <w:sz w:val="18"/>
      </w:rPr>
      <w:fldChar w:fldCharType="separate"/>
    </w:r>
    <w:r w:rsidR="00D6685D">
      <w:rPr>
        <w:noProof/>
        <w:sz w:val="18"/>
      </w:rPr>
      <w:t>1</w:t>
    </w:r>
    <w:r>
      <w:rPr>
        <w:sz w:val="18"/>
      </w:rPr>
      <w:fldChar w:fldCharType="end"/>
    </w:r>
    <w:r>
      <w:rPr>
        <w:sz w:val="18"/>
      </w:rPr>
      <w:t xml:space="preserve"> de </w:t>
    </w:r>
    <w:r>
      <w:rPr>
        <w:sz w:val="18"/>
      </w:rPr>
      <w:fldChar w:fldCharType="begin"/>
    </w:r>
    <w:r>
      <w:rPr>
        <w:sz w:val="18"/>
      </w:rPr>
      <w:instrText xml:space="preserve"> NUMPAGES </w:instrText>
    </w:r>
    <w:r w:rsidR="00D6685D">
      <w:rPr>
        <w:sz w:val="18"/>
      </w:rPr>
      <w:fldChar w:fldCharType="separate"/>
    </w:r>
    <w:r w:rsidR="00D6685D">
      <w:rPr>
        <w:noProof/>
        <w:sz w:val="18"/>
      </w:rPr>
      <w:t>2</w:t>
    </w:r>
    <w:r>
      <w:rPr>
        <w:sz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767C2F" w14:textId="77777777" w:rsidR="00D6685D" w:rsidRDefault="00D6685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1F4408" w14:textId="77777777" w:rsidR="009C2A65" w:rsidRDefault="009C2A65">
      <w:pPr>
        <w:spacing w:after="0" w:line="240" w:lineRule="auto"/>
      </w:pPr>
      <w:r>
        <w:separator/>
      </w:r>
    </w:p>
  </w:footnote>
  <w:footnote w:type="continuationSeparator" w:id="0">
    <w:p w14:paraId="53739799" w14:textId="77777777" w:rsidR="009C2A65" w:rsidRDefault="009C2A6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093956" w14:textId="77777777" w:rsidR="00D6685D" w:rsidRDefault="00D6685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594C39" w14:textId="77777777" w:rsidR="004836D6" w:rsidRDefault="009C2A65">
    <w:pPr>
      <w:pStyle w:val="Header"/>
    </w:pPr>
    <w:r>
      <w:rPr>
        <w:sz w:val="18"/>
      </w:rPr>
      <w:t>BikeEnergyLab     Manual de usuario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BBBCBD" w14:textId="77777777" w:rsidR="00D6685D" w:rsidRDefault="00D6685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45511549">
    <w:abstractNumId w:val="8"/>
  </w:num>
  <w:num w:numId="2" w16cid:durableId="65734550">
    <w:abstractNumId w:val="6"/>
  </w:num>
  <w:num w:numId="3" w16cid:durableId="1370259195">
    <w:abstractNumId w:val="5"/>
  </w:num>
  <w:num w:numId="4" w16cid:durableId="631132906">
    <w:abstractNumId w:val="4"/>
  </w:num>
  <w:num w:numId="5" w16cid:durableId="1653868286">
    <w:abstractNumId w:val="7"/>
  </w:num>
  <w:num w:numId="6" w16cid:durableId="620692798">
    <w:abstractNumId w:val="3"/>
  </w:num>
  <w:num w:numId="7" w16cid:durableId="442119213">
    <w:abstractNumId w:val="2"/>
  </w:num>
  <w:num w:numId="8" w16cid:durableId="1773469829">
    <w:abstractNumId w:val="1"/>
  </w:num>
  <w:num w:numId="9" w16cid:durableId="10526568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1C74"/>
    <w:rsid w:val="0015074B"/>
    <w:rsid w:val="0029639D"/>
    <w:rsid w:val="00326F90"/>
    <w:rsid w:val="004836D6"/>
    <w:rsid w:val="009C2A65"/>
    <w:rsid w:val="00AA1D8D"/>
    <w:rsid w:val="00B47730"/>
    <w:rsid w:val="00CB0664"/>
    <w:rsid w:val="00D6685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A9D96CD"/>
  <w14:defaultImageDpi w14:val="300"/>
  <w15:docId w15:val="{C81A7315-95AA-4574-9A0D-786CDC7638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40" w:line="269" w:lineRule="auto"/>
    </w:pPr>
    <w:rPr>
      <w:rFonts w:ascii="Arial" w:hAnsi="Arial"/>
      <w:color w:val="000000"/>
      <w:lang w:val="es-CO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20"/>
      <w:outlineLvl w:val="0"/>
    </w:pPr>
    <w:rPr>
      <w:rFonts w:asciiTheme="majorHAnsi" w:eastAsiaTheme="majorEastAsia" w:hAnsiTheme="majorHAnsi" w:cstheme="majorBidi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60" w:after="120"/>
      <w:outlineLvl w:val="2"/>
    </w:pPr>
    <w:rPr>
      <w:rFonts w:asciiTheme="majorHAnsi" w:eastAsiaTheme="majorEastAsia" w:hAnsiTheme="majorHAnsi" w:cstheme="majorBidi"/>
      <w:b/>
      <w:bCs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after="20" w:line="252" w:lineRule="auto"/>
    </w:pPr>
    <w:rPr>
      <w:rFonts w:ascii="Consolas" w:hAnsi="Consolas"/>
      <w:color w:val="000000"/>
      <w:sz w:val="19"/>
    </w:rPr>
  </w:style>
  <w:style w:type="paragraph" w:customStyle="1" w:styleId="TOC11">
    <w:name w:val="TOC 11"/>
    <w:pPr>
      <w:spacing w:after="40" w:line="240" w:lineRule="auto"/>
    </w:pPr>
    <w:rPr>
      <w:rFonts w:ascii="Arial" w:hAnsi="Arial"/>
      <w:color w:val="000000"/>
      <w:sz w:val="20"/>
    </w:rPr>
  </w:style>
  <w:style w:type="paragraph" w:customStyle="1" w:styleId="TOC21">
    <w:name w:val="TOC 21"/>
    <w:pPr>
      <w:spacing w:after="40" w:line="240" w:lineRule="auto"/>
    </w:pPr>
    <w:rPr>
      <w:rFonts w:ascii="Arial" w:hAnsi="Arial"/>
      <w:color w:val="000000"/>
      <w:sz w:val="20"/>
    </w:rPr>
  </w:style>
  <w:style w:type="paragraph" w:customStyle="1" w:styleId="TOC31">
    <w:name w:val="TOC 31"/>
    <w:pPr>
      <w:spacing w:after="40" w:line="240" w:lineRule="auto"/>
    </w:pPr>
    <w:rPr>
      <w:rFonts w:ascii="Arial" w:hAnsi="Arial"/>
      <w:color w:val="000000"/>
      <w:sz w:val="20"/>
    </w:rPr>
  </w:style>
  <w:style w:type="paragraph" w:styleId="TOC1">
    <w:name w:val="toc 1"/>
    <w:basedOn w:val="Normal"/>
    <w:next w:val="Normal"/>
    <w:autoRedefine/>
    <w:uiPriority w:val="39"/>
    <w:unhideWhenUsed/>
    <w:rsid w:val="00D6685D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D6685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1522</Words>
  <Characters>8373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9876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 de BikeEnergyLab</dc:title>
  <dc:subject>Documentación de BikeEnergyLab 1.0.0</dc:subject>
  <dc:creator>Francisco Javier Burgos Flórez; Juan Guillermo Popayán Hernández</dc:creator>
  <cp:keywords/>
  <dc:description>generated by python-docx</dc:description>
  <cp:lastModifiedBy>Francisco Burgos</cp:lastModifiedBy>
  <cp:revision>2</cp:revision>
  <dcterms:created xsi:type="dcterms:W3CDTF">2013-12-23T23:15:00Z</dcterms:created>
  <dcterms:modified xsi:type="dcterms:W3CDTF">2026-10-06T16:12:00Z</dcterms:modified>
  <cp:category/>
  <dc:language>es-CO</dc:language>
</cp:coreProperties>
</file>