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Manual técnico de SLAMCart3D</w:t>
      </w:r>
    </w:p>
    <w:p>
      <w:pPr>
        <w:spacing w:after="240"/>
      </w:pPr>
      <w:r>
        <w:t>Arquitectura, modelos, algoritmos, datos exportados, pruebas y límites del framework científico.</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Producto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Versión y autoría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SLAMCart3D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0.1.0, versión de desarrollo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Autores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Francisco Javier Burgos Flórez; Juan Pablo Hoyos Sánchez; Juan Guillermo Popayán Hernández</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Repositorio</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https://github.com/fjburgosf/SLAMCart3D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Fecha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2026-09-29 UTC</w:t>
            </w:r>
          </w:p>
        </w:tc>
      </w:tr>
    </w:tbl>
    <w:p/>
    <w:p>
      <w:pPr>
        <w:pStyle w:val="Heading1"/>
      </w:pPr>
      <w:r>
        <w:t>1 Propósito y alcance</w:t>
      </w:r>
    </w:p>
    <w:p>
      <w:r>
        <w:t>SLAMCart3D implementa un flujo científico reproducible para analizar la degradación de algoritmos de localización y mapeo. La versión 0.1.0 contiene un núcleo ejecutable sin interfaz, una GUI opcional, tres baselines, un híbrido adaptativo propuesto y el muestreador ASRF. El estado verdadero del vehículo es planar; la geometría extruida, el LiDAR multicapa y las figuras 3D no constituyen una solución de SLAM 6DoF.</w:t>
      </w:r>
    </w:p>
    <w:p>
      <w:pPr>
        <w:pStyle w:val="Heading1"/>
      </w:pPr>
      <w:r>
        <w:t>2 Arquitectura del sistema</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Módulo</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Responsabilidad principal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core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Configuración tipada, modelos compartidos y huella del código fuente.</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worlds y robots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Geometría 2.5D determinista y cinemática diferencial.</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sensors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LiDAR planar y multicapa, IMU y cámara RGB-D esquemática.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degradation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Ruido, sesgos, caminatas aleatorias, pérdida y oclusiones de medidas.</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slam</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Interfaz común, tres baselines y estimador híbrido adaptativo.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simulation y datasets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Reloj de simulación, observaciones y exportación sin algoritmo.</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metrics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Errores de trayectoria y calidad de mapas 2D y 3D.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robustness</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ASRF, baselines de muestreo, comparaciones y calibración diagnóstica.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gui y visualization</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Interfaz bilingüe, visor interactivo y figuras científicas opcionales.</w:t>
            </w:r>
          </w:p>
        </w:tc>
      </w:tr>
    </w:tbl>
    <w:p/>
    <w:p>
      <w:r>
        <w:t>Un ExperimentConfig validado entra en ObservationStream, que crea mundo y generadores pseudoaleatorios a partir de la semilla. Cada frame lleva ground truth y observaciones ideales y degradadas. La pose inicial configurada fija el marco; después, el estimador recibe solo lo medido. Tras la simulación se calculan métricas, y la exportación escribe configuración, resultados y procedencia. El renderizado es opcional y no modifica el reloj ni la trayectoria científica.</w:t>
      </w:r>
    </w:p>
    <w:p>
      <w:pPr>
        <w:pStyle w:val="Heading2"/>
      </w:pPr>
      <w:r>
        <w:t>Configuración y reproducibilidad</w:t>
      </w:r>
    </w:p>
    <w:p>
      <w:r>
        <w:t>La configuración agrupa robot, LiDAR planar, LiDAR multicapa, cámara, IMU, degradación, simulación, estimador, índice SRS y ocupación. El parser de YAML o JSON produce ExperimentConfig y rechaza valores no finitos, rangos físicos imposibles, algoritmos desconocidos y perfiles de movimiento inconsistentes. La duración debe ser un múltiplo del paso temporal; cada tramo programado debe cubrir un número entero de pasos y la suma de tramos debe cubrir exactamente la duración.</w:t>
      </w:r>
    </w:p>
    <w:p>
      <w:r>
        <w:t>ObservationStream reinicializa sus generadores al iterar. LiDAR, odometría, IMU, cámara y ejes auxiliares de la IMU usan secuencias separadas. Activar un sensor opcional no cambia las medidas de los sensores existentes. El dataset y la corrida científica consumen el mismo modelo de observación; el primero omite deliberadamente cualquier actualización SLAM.</w:t>
      </w:r>
    </w:p>
    <w:p>
      <w:pPr>
        <w:pStyle w:val="Heading1"/>
      </w:pPr>
      <w:r>
        <w:t>3 Modelo cinemático y mundos</w:t>
      </w:r>
    </w:p>
    <w:p>
      <w:r>
        <w:t>El robot terrestre usa radio de rueda r, separación L y velocidades angulares derecha e izquierda. La velocidad del centro y el giro obedecen al modelo diferencial; la integración de giro constante usa el arco exacto durante cada paso.</w:t>
      </w:r>
    </w:p>
    <w:p>
      <w:pPr>
        <w:spacing w:before="100" w:after="200"/>
        <w:jc w:val="center"/>
      </w:pPr>
      <m:oMath>
        <m:r>
          <m:t xml:space="preserve">v = r(</m:t>
        </m:r>
        <m:sSub>
          <m:e>
            <m:r>
              <m:t xml:space="preserve">ω</m:t>
            </m:r>
          </m:e>
          <m:sub>
            <m:r>
              <m:t xml:space="preserve">R</m:t>
            </m:r>
          </m:sub>
        </m:sSub>
        <m:r>
          <m:t xml:space="preserve"> + </m:t>
        </m:r>
        <m:sSub>
          <m:e>
            <m:r>
              <m:t xml:space="preserve">ω</m:t>
            </m:r>
          </m:e>
          <m:sub>
            <m:r>
              <m:t xml:space="preserve">L</m:t>
            </m:r>
          </m:sub>
        </m:sSub>
        <m:r>
          <m:t xml:space="preserve">)/2,   ω = r(</m:t>
        </m:r>
        <m:sSub>
          <m:e>
            <m:r>
              <m:t xml:space="preserve">ω</m:t>
            </m:r>
          </m:e>
          <m:sub>
            <m:r>
              <m:t xml:space="preserve">R</m:t>
            </m:r>
          </m:sub>
        </m:sSub>
        <m:r>
          <m:t xml:space="preserve"> − </m:t>
        </m:r>
        <m:sSub>
          <m:e>
            <m:r>
              <m:t xml:space="preserve">ω</m:t>
            </m:r>
          </m:e>
          <m:sub>
            <m:r>
              <m:t xml:space="preserve">L</m:t>
            </m:r>
          </m:sub>
        </m:sSub>
        <m:r>
          <m:t xml:space="preserve">)/L</m:t>
        </m:r>
      </m:oMath>
    </w:p>
    <w:p>
      <w:pPr>
        <w:spacing w:before="100" w:after="200"/>
        <w:jc w:val="center"/>
      </w:pPr>
      <m:oMath>
        <m:r>
          <m:t xml:space="preserve">dx/dt = v cos ψ,   dy/dt = v sin ψ,   dψ/dt = ω</m:t>
        </m:r>
      </m:oMath>
    </w:p>
    <w:p>
      <w:r>
        <w:t>Hay seis mundos reproducibles y una escena editable por segmentos: interior simple, corredor, interior complejo, almacén, interior con objeto móvil prescrito y exterior plano con edificios. Las paredes tienen altura finita para el ray casting multicapa. El movimiento del objeto dinámico no genera respuesta física de choque. Por defecto, una pared estática detiene un paso que dejaría el centro a menos de media separación de ruedas. wall_blocked_steps cuenta estas paradas; la aproximación no modela deslizamiento, forma detallada del chasis ni planificación de rutas.</w:t>
      </w:r>
    </w:p>
    <w:p>
      <w:pPr>
        <w:keepNext/>
        <w:jc w:val="center"/>
      </w:pPr>
      <w:r>
        <w:drawing>
          <wp:inline xmlns:a="http://schemas.openxmlformats.org/drawingml/2006/main" xmlns:pic="http://schemas.openxmlformats.org/drawingml/2006/picture">
            <wp:extent cx="3291840" cy="2674620"/>
            <wp:docPr id="1" name="Picture 1"/>
            <wp:cNvGraphicFramePr>
              <a:graphicFrameLocks noChangeAspect="1"/>
            </wp:cNvGraphicFramePr>
            <a:graphic>
              <a:graphicData uri="http://schemas.openxmlformats.org/drawingml/2006/picture">
                <pic:pic>
                  <pic:nvPicPr>
                    <pic:cNvPr id="0" name="scene_3d.png"/>
                    <pic:cNvPicPr/>
                  </pic:nvPicPr>
                  <pic:blipFill>
                    <a:blip r:embed="rId9"/>
                    <a:stretch>
                      <a:fillRect/>
                    </a:stretch>
                  </pic:blipFill>
                  <pic:spPr>
                    <a:xfrm>
                      <a:off x="0" y="0"/>
                      <a:ext cx="3291840" cy="2674620"/>
                    </a:xfrm>
                    <a:prstGeom prst="rect"/>
                  </pic:spPr>
                </pic:pic>
              </a:graphicData>
            </a:graphic>
          </wp:inline>
        </w:drawing>
      </w:r>
    </w:p>
    <w:p>
      <w:pPr>
        <w:spacing w:after="240"/>
        <w:jc w:val="center"/>
      </w:pPr>
      <w:r>
        <w:rPr>
          <w:i/>
          <w:sz w:val="18"/>
        </w:rPr>
        <w:t>Figura 1. Escena extruida y trayectorias de la corrida verificable EXP-71EEDD205D56.</w:t>
      </w:r>
    </w:p>
    <w:p>
      <w:pPr>
        <w:pStyle w:val="Heading1"/>
      </w:pPr>
      <w:r>
        <w:t>4 Sensores y degradaciones</w:t>
      </w:r>
    </w:p>
    <w:p>
      <w:pPr>
        <w:pStyle w:val="Heading2"/>
      </w:pPr>
      <w:r>
        <w:t>LiDAR</w:t>
      </w:r>
    </w:p>
    <w:p>
      <w:r>
        <w:t>El LiDAR planar obtiene la distancia al primer segmento que intercepta cada rayo. El sensor multicapa opcional proyecta haces con ángulos de azimut y elevación contra paredes y suelo. La configuración separa alcance y resolución de ambos sensores. El motor de degradación puede añadir ruido, sesgo, outliers, reducción de alcance, pérdida por haz, pérdida sectorial, zonas de pérdida y perfiles temporales. Una dirección sin impacto o un haz perdido no se transforma en punto ocupado.</w:t>
      </w:r>
    </w:p>
    <w:p>
      <w:pPr>
        <w:pStyle w:val="Heading2"/>
      </w:pPr>
      <w:r>
        <w:t>IMU y cámara</w:t>
      </w:r>
    </w:p>
    <w:p>
      <w:r>
        <w:t>La IMU sintética exporta tres velocidades angulares y tres componentes de aceleración específica sobre un robot nivelado. Sus valores ideales son giro en yaw, aceleración longitudinal por cambio de velocidad, aceleración lateral v por yaw rate y 9.80665 m/s² verticales. Hay sesgo, caminata aleatoria, ruido blanco, saturación y pérdida de paquete. La fusión ruedas e IMU usa solo la componente de giro yaw. La cámara RGB-D emplea colores esquemáticos y puede degradarse con ruido, desenfoque, iluminación, contraste, oclusión y pérdida de cuadros; ninguno de los cuatro estimadores usa sus imágenes.</w:t>
      </w:r>
    </w:p>
    <w:p>
      <w:pPr>
        <w:pStyle w:val="Heading2"/>
      </w:pPr>
      <w:r>
        <w:t>Composición de degradaciones</w:t>
      </w:r>
    </w:p>
    <w:p>
      <w:r>
        <w:t>Los perfiles de pérdida temporal admiten tasa constante, rampa lineal y cambio abrupto. Una región rectangular opcional restringe la pérdida de paquetes a coordenadas mundiales determinadas por el ground truth, sin desplazar la zona con el error de localización. Ruido, sesgo y pérdida pueden coexistir. La pérdida de odometría se representa como incremento medido cero durante ese paso; no emula un encoder que conserva su última lectura. Los cambios de iluminación afectan solo la cámara, por lo que no se usan como variables ASRF para los baselines actuales.</w:t>
      </w:r>
    </w:p>
    <w:p>
      <w:pPr>
        <w:pStyle w:val="Heading1"/>
      </w:pPr>
      <w:r>
        <w:t>5 Estimadores de referencia</w:t>
      </w:r>
    </w:p>
    <w:tbl>
      <w:tblPr>
        <w:tblW w:type="auto" w:w="0"/>
        <w:jc w:val="center"/>
        <w:tblLayout w:type="fixed"/>
        <w:tblLook w:firstColumn="1" w:firstRow="1" w:lastColumn="0" w:lastRow="0" w:noHBand="0" w:noVBand="1" w:val="04A0"/>
      </w:tblPr>
      <w:tblGrid>
        <w:gridCol w:w="2664"/>
        <w:gridCol w:w="4392"/>
        <w:gridCol w:w="2736"/>
      </w:tblGrid>
      <w:tr>
        <w:trPr>
          <w:tblHeader/>
        </w:trPr>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Algoritmo</w:t>
            </w:r>
          </w:p>
        </w:tc>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Entrada y función</w:t>
            </w:r>
          </w:p>
        </w:tc>
        <w:tc>
          <w:tcPr>
            <w:tcW w:type="dxa" w:w="32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Límite</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dead_reckoning</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Integra velocidades de rueda y coloca el mapa LiDAR.</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Acumula deriva.</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wheel_imu_fusion</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Usa rueda longitudinal y giro de IMU, con respaldo de rueda.</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integra aceleración.</w:t>
            </w:r>
          </w:p>
        </w:tc>
      </w:tr>
      <w:tr>
        <w:tc>
          <w:tcPr>
            <w:tcW w:type="dxa" w:w="266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icp_odometry</w:t>
            </w:r>
          </w:p>
        </w:tc>
        <w:tc>
          <w:tcPr>
            <w:tcW w:type="dxa" w:w="4392"/>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Registra escaneos LiDAR consecutivos con prior de odometría.</w:t>
            </w:r>
          </w:p>
        </w:tc>
        <w:tc>
          <w:tcPr>
            <w:tcW w:type="dxa" w:w="273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No cierra bucles.</w:t>
            </w:r>
          </w:p>
        </w:tc>
      </w:tr>
    </w:tbl>
    <w:p/>
    <w:p>
      <w:r>
        <w:t>Cada implementación ofrece initialize, update, reset, get_pose, get_map y get_diagnostics. ICP usa registro punto a línea y reporta disponibilidad de registro separada de la disponibilidad de poses finitas. Ningún baseline hace optimización global de grafo, cierre de bucle u odometría visual.</w:t>
      </w:r>
    </w:p>
    <w:p>
      <w:pPr>
        <w:pStyle w:val="Heading2"/>
      </w:pPr>
      <w:r>
        <w:t>Híbrido adaptativo propuesto</w:t>
      </w:r>
    </w:p>
    <w:p>
      <w:r>
        <w:t>adaptive_hybrid predice movimiento con velocidad longitudinal de ruedas y giro IMU; si falta la IMU, usa el giro de ruedas. Registra un escaneo LiDAR submuestreado contra el mapa acumulado mediante correspondencias de vecino cercano, residual punto a punto robusto y penalización respecto de la predicción. Limita el mapa de referencia local a 250 puntos para contener el costo. La confianza se ajusta con la proporción de correspondencias y el RMSE medido, sin observar la pose verdadera. Es adaptación estadística en línea, sin entrenamiento supervisado.</w:t>
      </w:r>
    </w:p>
    <w:p>
      <w:pPr>
        <w:spacing w:before="100" w:after="200"/>
        <w:jc w:val="center"/>
      </w:pPr>
      <m:oMath>
        <m:r>
          <m:t xml:space="preserve">q = f exp[−0.5(RMSE/0.25)²],   τ ← 0.85τ + 0.15q</m:t>
        </m:r>
      </m:oMath>
    </w:p>
    <w:p>
      <w:r>
        <w:t>f es la fracción de correspondencias válidas y τ empieza en 0.5. El peso del prior es icp_prior_weight / max(τ, 0.2). El registro requiere al menos seis puntos, fracción válida de 0.3, RMSE no mayor que 0.3 m, corrección de posición no mayor que 0.5 m y de giro no mayor que 0.25 rad. La ponderación robusta usa transición de 0.15 m. Estos valores son decisiones de esta implementación, no constantes universales. Un registro rechazado conserva la predicción; el filtro de mapa puede impedir que incorpore puntos dudosos. El método no cierra bucles.</w:t>
      </w:r>
    </w:p>
    <w:p>
      <w:pPr>
        <w:pStyle w:val="Heading2"/>
      </w:pPr>
      <w:r>
        <w:t>Comparación y ablaciones del híbrido</w:t>
      </w:r>
    </w:p>
    <w:p>
      <w:r>
        <w:t>El estudio HYBRID-6C1041E65534 ejecutó 140 corridas: cuatro condiciones, siete variantes y cinco semillas pareadas (5 a 9), distintas de las exploratorias. Comparó los tres baselines, el híbrido completo y versiones sin IMU, sin adaptación y sin filtro de mapa. Cada corrida duró 10 s con paso de 0.1 s. Los intervalos son descriptivos, de aproximación normal; con cinco semillas no justifican una afirmación general de superioridad.</w:t>
      </w:r>
    </w:p>
    <w:p>
      <w:r>
        <w:t>La condición moderada usa ruido LiDAR de 0.05 m, pérdida de 0.05 y ruido de ruedas de 0.03 rad/s. La de ruedas aumenta este último a 0.5 rad/s con LiDAR de 0.02 m. La de LiDAR usa el corredor, ruido de 0.25 m y pérdida de 0.4. La inercial introduce sesgo de giro de 0.08 rad/s con ruido de ruedas de 0.1 rad/s y LiDAR de 0.02 m. Las configuraciones completas quedan guardadas; las condiciones restantes no se ajustaron después de observar el resultado.</w:t>
      </w:r>
    </w:p>
    <w:tbl>
      <w:tblPr>
        <w:tblW w:type="auto" w:w="0"/>
        <w:jc w:val="center"/>
        <w:tblLayout w:type="fixed"/>
        <w:tblLook w:firstColumn="1" w:firstRow="1" w:lastColumn="0" w:lastRow="0" w:noHBand="0" w:noVBand="1" w:val="04A0"/>
      </w:tblPr>
      <w:tblGrid>
        <w:gridCol w:w="3024"/>
        <w:gridCol w:w="1584"/>
        <w:gridCol w:w="1584"/>
        <w:gridCol w:w="3600"/>
      </w:tblGrid>
      <w:tr>
        <w:trPr>
          <w:tblHeader/>
        </w:trPr>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Condición</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ATE rueda/IMU [m]</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ATE ICP [m]</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ATE híbrido [m]</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Moderada</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0.00079</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0.02253</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0.01956</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Ruido de ruedas</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0.01321</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0.01946</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0.02118</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LiDAR degradado</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0.00079</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0.11506</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0.02589</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Sesgo IMU</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0.14125</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0.01959</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0.01810</w:t>
            </w:r>
          </w:p>
        </w:tc>
      </w:tr>
    </w:tbl>
    <w:p/>
    <w:p>
      <w:r>
        <w:t>El híbrido mejora ATE frente a ICP con LiDAR degradado y frente a rueda/IMU con sesgo de giroscopio, pero no gana frente a la mejor referencia en las cuatro condiciones. El mejor ATE con sesgo IMU fue el de ruedas sin IMU (0.00438 m). Además, el RPE del híbrido supera al de la mejor referencia en cada condición y su F1 con ruido de ruedas es 0.850 frente a 0.929 de rueda/IMU. Desactivar la adaptación aumenta ATE con LiDAR degradado de 0.02589 a 0.03388 m; desactivar el filtro de mapa lo lleva a 0.04910 m, pero mejora F1 de 0.484 a 0.635. Hay un compromiso entre precisión de trayectoria y cobertura del mapa.</w:t>
      </w:r>
    </w:p>
    <w:p>
      <w:pPr>
        <w:spacing w:before="60" w:after="200"/>
        <w:ind w:left="288"/>
      </w:pPr>
      <w:r>
        <w:rPr>
          <w:rFonts w:ascii="Consolas" w:hAnsi="Consolas"/>
          <w:sz w:val="18"/>
        </w:rPr>
        <w:t>slamcart3d benchmark-hybrid configs/example_adaptive_hybrid.yaml --plot</w:t>
      </w:r>
    </w:p>
    <w:p>
      <w:pPr>
        <w:pStyle w:val="Heading1"/>
      </w:pPr>
      <w:r>
        <w:t>6 Métricas y referencias</w:t>
      </w:r>
    </w:p>
    <w:p>
      <w:r>
        <w:t>La evaluación de trayectoria calcula ATE tras alineación rígida SE(2), RPE traslacional y angular, error final, deriva por metro y disponibilidad. En la ecuación, las posiciones estimadas ya se han alineado sin escala con el ground truth.</w:t>
      </w:r>
    </w:p>
    <w:p>
      <w:pPr>
        <w:spacing w:before="100" w:after="200"/>
        <w:jc w:val="center"/>
      </w:pPr>
      <m:oMath>
        <m:r>
          <m:t xml:space="preserve">ATE RMSE = √[(1/N) Σᵢ ‖pᵢ − p̂ᵢ‖²]</m:t>
        </m:r>
      </m:oMath>
    </w:p>
    <w:p>
      <w:r>
        <w:t>El mapa puntual 2D usa distancias dirigidas a paredes muestreadas, precisión, recall y F1 a 0.25 m. La nube 3D se compara solo con superficies verticales estáticas, excluyendo retornos a 0.1 m del suelo o menos. La cuadrícula de ocupación opcional conserva estado desconocido y calcula IoU ocupada contra todas las celdas de pared de referencia; por ello el recall disminuye en salas no observadas. Son métricas distintas para representaciones distintas y no estiman probabilidad calibrada de ocupación.</w:t>
      </w:r>
    </w:p>
    <w:p>
      <w:r>
        <w:t>La cuadrícula sparse recorre rayos con retornos válidos desde poses estimadas. Marca el extremo ocupado y las celdas interiores libres, conservando las no visitadas como desconocidas. Una celda ocupada prevalece sobre una marca libre posterior. La evaluación compara ocupación con una rasterización de todos los muros estáticos, incluyendo ambos lados cuando el muro cae exactamente sobre un límite de celdas. La exactitud de espacio libre utiliza solo celdas libres observadas; no equivale a recall libre global.</w:t>
      </w:r>
    </w:p>
    <w:p>
      <w:pPr>
        <w:pStyle w:val="Heading1"/>
      </w:pPr>
      <w:r>
        <w:t>7 Método ASRF y comparación</w:t>
      </w:r>
    </w:p>
    <w:p>
      <w:r>
        <w:t>Para condiciones θ, un margen positivo representa fallo respecto de un umbral de una métrica seleccionada. El signo se ajusta cuando una métrica es mejor cuanto mayor. ASRF comienza con un hipercubo latino y elige nuevos puntos mediante una combinación de ambigüedad cerca de la frontera estimada y cobertura de zonas no muestreadas.</w:t>
      </w:r>
    </w:p>
    <w:p>
      <w:pPr>
        <w:spacing w:before="100" w:after="200"/>
        <w:jc w:val="center"/>
      </w:pPr>
      <m:oMath>
        <m:r>
          <m:t xml:space="preserve">g(θ) = J(θ) − </m:t>
        </m:r>
        <m:sSub>
          <m:e>
            <m:r>
              <m:t xml:space="preserve">J</m:t>
            </m:r>
          </m:e>
          <m:sub>
            <m:r>
              <m:t xml:space="preserve">crit</m:t>
            </m:r>
          </m:sub>
        </m:sSub>
      </m:oMath>
    </w:p>
    <w:p>
      <w:pPr>
        <w:spacing w:before="100" w:after="200"/>
        <w:jc w:val="center"/>
      </w:pPr>
      <m:oMath>
        <m:r>
          <m:t xml:space="preserve">a(θ) = 4p(θ)[1 − p(θ)] + λ</m:t>
        </m:r>
        <m:sSub>
          <m:e>
            <m:r>
              <m:t xml:space="preserve">d</m:t>
            </m:r>
          </m:e>
          <m:sub>
            <m:r>
              <m:t xml:space="preserve">nearest</m:t>
            </m:r>
          </m:sub>
        </m:sSub>
        <m:r>
          <m:t xml:space="preserve">(θ)</m:t>
        </m:r>
      </m:oMath>
    </w:p>
    <w:p>
      <w:r>
        <w:t>El surrogate es un promedio ponderado con kernel radial, no una probabilidad calibrada. La variación media de predicciones en 512 puntos de monitoreo puede detener la búsqueda antes del presupuesto tras ocho iteraciones estables y observación de ambas clases. Grid, Random y Latin Hypercube son los tres diseños de comparación. La validación sintética conoce exactamente su frontera; la validación con simulaciones usa una malla finita y semillas independientes, de modo que su referencia es empírica.</w:t>
      </w:r>
    </w:p>
    <w:tbl>
      <w:tblPr>
        <w:tblW w:type="auto" w:w="0"/>
        <w:jc w:val="center"/>
        <w:tblLayout w:type="fixed"/>
        <w:tblLook w:firstColumn="1" w:firstRow="1" w:lastColumn="0" w:lastRow="0" w:noHBand="0" w:noVBand="1" w:val="04A0"/>
      </w:tblPr>
      <w:tblGrid>
        <w:gridCol w:w="3024"/>
        <w:gridCol w:w="1584"/>
        <w:gridCol w:w="1584"/>
        <w:gridCol w:w="3600"/>
      </w:tblGrid>
      <w:tr>
        <w:trPr>
          <w:tblHeader/>
        </w:trPr>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Comparación observada</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Grid</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ASRF</w:t>
            </w:r>
          </w:p>
        </w:tc>
        <w:tc>
          <w:tcPr>
            <w:tcW w:type="dxa" w:w="2448"/>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Lectura</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Dead reckoning,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0.000</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0.066</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11 × 11, 5 seeds de validación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Dead reckoning, Brier</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0.077</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0.100</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No demuestra calibración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ICP LiDAR,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0.086</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0.099</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9 × 9, 5 seeds de validación</w:t>
            </w:r>
          </w:p>
        </w:tc>
      </w:tr>
      <w:tr>
        <w:tc>
          <w:tcPr>
            <w:tcW w:type="dxa" w:w="302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Ocupación IoU, error clasificación</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0.265</w:t>
            </w:r>
          </w:p>
        </w:tc>
        <w:tc>
          <w:tcPr>
            <w:tcW w:type="dxa" w:w="1584"/>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0.388</w:t>
            </w:r>
          </w:p>
        </w:tc>
        <w:tc>
          <w:tcPr>
            <w:tcW w:type="dxa" w:w="3600"/>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7 × 7, 3 seeds de validación</w:t>
            </w:r>
          </w:p>
        </w:tc>
      </w:tr>
    </w:tbl>
    <w:p/>
    <w:p>
      <w:r>
        <w:t>Las dos comparaciones reales de ATE (25 condiciones) y la de IoU (12) no favorecieron a ASRF. En la frontera matemática obtuvo menor error medio con presupuestos solicitados de 25, 50, 100 y 250 y cinco semillas; en los dos últimos se detuvo tras 50 evaluaciones de media. No se generaliza a otras escenas, algoritmos o umbrales. Brier y ECE10 no prueban calibración predictiva.</w:t>
      </w:r>
    </w:p>
    <w:p>
      <w:r>
        <w:t>La comparación de ocupación usó 12 condiciones por método y umbral IoU 0.1. Random obtuvo error 0.245, Grid y LHS 0.265, y ASRF 0.388. Solo cuatro puntos fueron adaptativos tras las ocho condiciones iniciales de ASRF; la malla 7 × 7 y tres semillas de validación por punto hacen el resultado exploratorio.</w:t>
      </w:r>
    </w:p>
    <w:p>
      <w:r>
        <w:t>En compare-real, las semillas de entrenamiento y validación deben ser disjuntas. Cada diseño recibe el mismo presupuesto de condiciones; todas las predicciones se evalúan sobre la misma malla y las mismas semillas retenidas. Error de clasificación, falsos seguros y falsos fallos se calculan frente a etiquetas empíricas; Brier usa todos los desenlaces binarios retenidos y ECE10 agrupa probabilidades en diez intervalos. El comando rechaza una malla sin ambas clases, donde FNR o FPR quedaría indefinida.</w:t>
      </w:r>
    </w:p>
    <w:p>
      <w:pPr>
        <w:pStyle w:val="Heading1"/>
      </w:pPr>
      <w:r>
        <w:t>8 Datos exportados y trazabilidad</w:t>
      </w:r>
    </w:p>
    <w:p>
      <w:r>
        <w:t>Mientras la GUI ejecuta, escribe trajectory_live.csv, nubes parciales y status.json en cada paso. Al finalizar añade config.yaml, metadata.json, trajectory.csv, metrics.csv y mapas CSV en results/EXP. Si se solicitan figuras, crea trayectoria, escena 3D y nube 3D según sensores activos. Los datasets guardan ground truth y observaciones ideales y medidas. Lotes y estudios exportan las corridas por semilla y tablas agregadas. Cada resultado conserva identificador, configuración, semilla, versión, fecha UTC y huella SHA-256 del paquete de código.</w:t>
      </w:r>
    </w:p>
    <w:p>
      <w:r>
        <w:t>trajectory.csv registra timestamp, pose verdadera y pose estimada en metros y radianes. En el dataset, un campo CSV vacío representa una medida ausente; no debe imputarse como cero. Los puntos 3D del dataset se pueden expresar con pose verdadera para análisis de sensor, mientras que point_cloud_3d.csv de una corrida usa la pose estimada y altura fija del sensor para evaluar el mapa producido por el baseline. metadata.json especifica esa diferencia de marcos.</w:t>
      </w:r>
    </w:p>
    <w:tbl>
      <w:tblPr>
        <w:tblW w:type="auto" w:w="0"/>
        <w:jc w:val="center"/>
        <w:tblLayout w:type="fixed"/>
        <w:tblLook w:firstColumn="1" w:firstRow="1" w:lastColumn="0" w:lastRow="0" w:noHBand="0" w:noVBand="1" w:val="04A0"/>
      </w:tblPr>
      <w:tblGrid>
        <w:gridCol w:w="3096"/>
        <w:gridCol w:w="6696"/>
      </w:tblGrid>
      <w:tr>
        <w:trPr>
          <w:tblHeader/>
        </w:trPr>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Dato de procedencia</w:t>
            </w:r>
          </w:p>
        </w:tc>
        <w:tc>
          <w:tcPr>
            <w:tcW w:type="dxa" w:w="48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DCE6F1"/>
          </w:tcPr>
          <w:p>
            <w:pPr>
              <w:spacing w:after="60" w:before="60"/>
            </w:pPr>
            <w:r>
              <w:rPr>
                <w:rFonts w:ascii="Arial" w:hAnsi="Arial"/>
                <w:b/>
                <w:sz w:val="18"/>
              </w:rPr>
              <w:t>Valor de la corrida ilustrada</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Identificador</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EXP-71EEDD205D56</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Semilla</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42</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Huella SHA-256</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43c8b93e4a1916b52ec1fe6a41523b49fccdec5b797e731386db86e79292a2dd</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ATE RMSE</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shd w:fill="F7F9FC"/>
          </w:tcPr>
          <w:p>
            <w:pPr>
              <w:spacing w:after="60" w:before="60"/>
            </w:pPr>
            <w:r>
              <w:rPr>
                <w:rFonts w:ascii="Arial" w:hAnsi="Arial"/>
                <w:sz w:val="18"/>
              </w:rPr>
              <w:t>0.000118 m</w:t>
            </w:r>
          </w:p>
        </w:tc>
      </w:tr>
      <w:tr>
        <w:tc>
          <w:tcPr>
            <w:tcW w:type="dxa" w:w="30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Puntos 3D</w:t>
            </w:r>
          </w:p>
        </w:tc>
        <w:tc>
          <w:tcPr>
            <w:tcW w:type="dxa" w:w="6696"/>
            <w:vAlign w:val="center"/>
            <w:tcBorders>
              <w:top w:val="single" w:color="D9D9D9" w:sz="4"/>
              <w:left w:val="single" w:color="D9D9D9" w:sz="4"/>
              <w:bottom w:val="single" w:color="D9D9D9" w:sz="4"/>
              <w:right w:val="single" w:color="D9D9D9" w:sz="4"/>
            </w:tcBorders>
            <w:tcMar>
              <w:top w:w="80" w:type="dxa"/>
              <w:bottom w:w="80" w:type="dxa"/>
              <w:left w:w="110" w:type="dxa"/>
              <w:right w:w="110" w:type="dxa"/>
            </w:tcMar>
          </w:tcPr>
          <w:p>
            <w:pPr>
              <w:spacing w:after="60" w:before="60"/>
            </w:pPr>
            <w:r>
              <w:rPr>
                <w:rFonts w:ascii="Arial" w:hAnsi="Arial"/>
                <w:sz w:val="18"/>
              </w:rPr>
              <w:t>6550</w:t>
            </w:r>
          </w:p>
        </w:tc>
      </w:tr>
    </w:tbl>
    <w:p/>
    <w:p>
      <w:pPr>
        <w:pStyle w:val="Heading1"/>
      </w:pPr>
      <w:r>
        <w:t>9 Interfaz y concurrencia</w:t>
      </w:r>
    </w:p>
    <w:p>
      <w:r>
        <w:t>La GUI Qt ofrece pestañas de experimento, trayectoria, métricas, lotes, robustez ASRF, nube 3D, dataset, ocupación 2D y estudio controlado. La barra temporal recupera pasos ya calculados; Mostrar realidad simulada controla la referencia visual. Las tareas largas se ejecutan en QThread; los botones de lanzamiento se deshabilitan durante la operación y se reactivan al completar o fallar. Los mensajes y controles principales cambian entre español e inglés sin alterar la configuración. El núcleo headless no depende del renderizador de la GUI.</w:t>
      </w:r>
    </w:p>
    <w:p>
      <w:pPr>
        <w:pStyle w:val="Heading1"/>
      </w:pPr>
      <w:r>
        <w:t>10 Instalación desarrollo y compilación</w:t>
      </w:r>
    </w:p>
    <w:p>
      <w:pPr>
        <w:spacing w:before="60" w:after="200"/>
        <w:ind w:left="288"/>
      </w:pPr>
      <w:r>
        <w:rPr>
          <w:rFonts w:ascii="Consolas" w:hAnsi="Consolas"/>
          <w:sz w:val="18"/>
        </w:rPr>
        <w:t>python -m venv .venv</w:t>
      </w:r>
    </w:p>
    <w:p>
      <w:pPr>
        <w:spacing w:before="60" w:after="200"/>
        <w:ind w:left="288"/>
      </w:pPr>
      <w:r>
        <w:rPr>
          <w:rFonts w:ascii="Consolas" w:hAnsi="Consolas"/>
          <w:sz w:val="18"/>
        </w:rPr>
        <w:t>.venv\Scripts\python -m pip install -e ".[test,visualization,gui,build]"</w:t>
      </w:r>
    </w:p>
    <w:p>
      <w:pPr>
        <w:spacing w:before="60" w:after="200"/>
        <w:ind w:left="288"/>
      </w:pPr>
      <w:r>
        <w:rPr>
          <w:rFonts w:ascii="Consolas" w:hAnsi="Consolas"/>
          <w:sz w:val="18"/>
        </w:rPr>
        <w:t>.venv\Scripts\python scripts\run_workspace_checks.py</w:t>
      </w:r>
    </w:p>
    <w:p>
      <w:pPr>
        <w:spacing w:before="60" w:after="200"/>
        <w:ind w:left="288"/>
      </w:pPr>
      <w:r>
        <w:rPr>
          <w:rFonts w:ascii="Consolas" w:hAnsi="Consolas"/>
          <w:sz w:val="18"/>
        </w:rPr>
        <w:t>.venv\Scripts\python scripts\build_windows.py</w:t>
      </w:r>
    </w:p>
    <w:p>
      <w:r>
        <w:t>La compilación Windows usa PyInstaller en modo onedir y conserva archivos temporales dentro del checkout. La autoprueba del EXE se solicita con --self-test. La distribución actual pasó esa prueba tras extraerse de su ZIP; no sustituye la prueba en una máquina limpia. La API Python sigue disponible y la CLI admite run, generate-dataset, batch, robustness-study, compare-real y validaciones sintéticas.</w:t>
      </w:r>
    </w:p>
    <w:p>
      <w:pPr>
        <w:pStyle w:val="Heading1"/>
      </w:pPr>
      <w:r>
        <w:t>11 Pruebas y resultados medidos</w:t>
      </w:r>
    </w:p>
    <w:p>
      <w:r>
        <w:t>Las 202 pruebas automatizadas pasaron en el árbol de desarrollo. Revisan matemática, sensores, degradaciones, mapas, estimadores, estadística, ASRF, CLI y GUI en Qt offscreen, además del híbrido, sus ablaciones, el estudio controlado y el guardado incremental. Los ejemplos se ejecutan con salidas finitas. La compilación congelada y la copia extraída del ZIP del EXE devolvieron código 0 en --self-test. Esto no demuestra portabilidad universal, ausencia de fallos físicos o calibración del surrogate.</w:t>
      </w:r>
    </w:p>
    <w:p>
      <w:pPr>
        <w:pStyle w:val="Heading1"/>
      </w:pPr>
      <w:r>
        <w:t>12 Límites y extensiones</w:t>
      </w:r>
    </w:p>
    <w:p>
      <w:r>
        <w:t>Faltan movimiento rígido 6DoF, evitación y física completa de colisiones, cierre de bucle, odometría visual y mapas de ocupación probabilísticos calibrados. La validación real de ASRF necesita más escenarios, presupuestos y semillas de diseño antes de evaluar una hipótesis de superioridad general. El ejecutable no se ha ensayado en un Windows limpio.</w:t>
      </w:r>
    </w:p>
    <w:p>
      <w:pPr>
        <w:pStyle w:val="Heading1"/>
      </w:pPr>
      <w:r>
        <w:t>Referencias</w:t>
      </w:r>
    </w:p>
    <w:p>
      <w:pPr>
        <w:pStyle w:val="ListBullet"/>
      </w:pPr>
      <w:r>
        <w:t>Durrant-Whyte, H. y Bailey, T. (2006). Simultaneous Localization and Mapping Part I. IEEE Robotics and Automation Magazine.</w:t>
      </w:r>
    </w:p>
    <w:p>
      <w:pPr>
        <w:pStyle w:val="ListBullet"/>
      </w:pPr>
      <w:r>
        <w:t>Besl, P. J. y McKay, N. D. (1992). A Method for Registration of 3-D Shapes. IEEE TPAMI 14(2), 239–256. DOI 10.1109/34.121791.</w:t>
      </w:r>
    </w:p>
    <w:p>
      <w:pPr>
        <w:pStyle w:val="ListBullet"/>
      </w:pPr>
      <w:r>
        <w:t>Sturm, J. y otros (2012). A Benchmark for the Evaluation of RGB-D SLAM Systems. IROS, 573–580.</w:t>
      </w:r>
    </w:p>
    <w:p>
      <w:pPr>
        <w:pStyle w:val="ListBullet"/>
      </w:pPr>
      <w:r>
        <w:t>Settles, B. (2009). Active Learning Literature Survey. Technical Report 1648, University of Wisconsin–Madison.</w:t>
      </w:r>
    </w:p>
    <w:p>
      <w:pPr>
        <w:pStyle w:val="ListBullet"/>
      </w:pPr>
      <w:r>
        <w:t>McKay, M. D., Beckman, R. J. y Conover, W. J. (1979). A Comparison of Three Methods for Selecting Values of Input Variables. Technometrics 21(2), 239–245.</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w:hAnsi="Apto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before="0"/>
      <w:contextualSpacing/>
    </w:pPr>
    <w:rPr>
      <w:rFonts w:asciiTheme="majorHAnsi" w:eastAsiaTheme="majorEastAsia" w:hAnsiTheme="majorHAnsi" w:cstheme="majorBidi" w:ascii="Aptos" w:hAnsi="Aptos"/>
      <w:b w:val="0"/>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de SLAMCart3D</dc:title>
  <dc:subject>Arquitectura, modelos, algoritmos, datos exportados, pruebas y límites del framework científico.</dc:subject>
  <dc:creator>Francisco Javier Burgos Flórez; Juan Pablo Hoyos Sánchez; Juan Guillermo Popayán Hernández</dc:creator>
  <cp:keywords>SLAMCart3D, robótica, simulación, ASRF</cp:keywords>
  <dc:description>generated by python-docx</dc:description>
  <cp:lastModifiedBy>Francisco Javier Burgos Flórez; Juan Pablo Hoyos Sánchez; Juan Guillermo Popayán Hernández</cp:lastModifiedBy>
  <cp:revision>1</cp:revision>
  <dcterms:created xsi:type="dcterms:W3CDTF">2026-09-29T17:30:32Z</dcterms:created>
  <dcterms:modified xsi:type="dcterms:W3CDTF">2026-09-29T17:30:32Z</dcterms:modified>
  <cp:category/>
</cp:coreProperties>
</file>