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usuario de SLAMCart3D</w:t>
      </w:r>
    </w:p>
    <w:p>
      <w:pPr>
        <w:spacing w:after="240"/>
      </w:pPr>
      <w:r>
        <w:t>Guía para configurar, ejecutar y examinar experimentos reproducibles de localización y mapeo.</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Producto</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Versión y autoría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SLAMCart3D</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0.1.0, versión de desarrollo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Autores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Francisco Javier Burgos Flórez; Juan Pablo Hoyos Sánchez; Juan Guillermo Popayán Hernández</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Repositorio</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https://github.com/fjburgosf/SLAMCart3D</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Fecha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2026-09-29 UTC</w:t>
            </w:r>
          </w:p>
        </w:tc>
      </w:tr>
    </w:tbl>
    <w:p/>
    <w:p>
      <w:pPr>
        <w:pStyle w:val="Heading1"/>
      </w:pPr>
      <w:r>
        <w:t>1 Alcance del programa</w:t>
      </w:r>
    </w:p>
    <w:p>
      <w:r>
        <w:t>SLAMCart3D permite simular un robot diferencial, degradar sus sensores de manera controlada, ejecutar tres métodos de referencia y un estimador híbrido propuesto, y comparar trayectorias y mapas con una referencia conocida. También genera datasets y estudia una frontera exploratoria entre operación aceptable y fallo. El robot se mueve en un plano dentro de mundos extruidos; las figuras y nubes 3D no significan que la estimación tenga seis grados de libertad.</w:t>
      </w:r>
    </w:p>
    <w:p>
      <w:r>
        <w:t>La trayectoria verdadera pertenece al simulador: permite medir cuánto se equivoca el algoritmo. La posición inicial configurada fija el origen conocido; durante el recorrido el estimador recibe ruedas y sensores medidos, y construye su propia trayectoria y mapa. Mostrar u ocultar esa referencia en pantalla no le entrega información adicional al algoritmo.</w:t>
      </w:r>
    </w:p>
    <w:p>
      <w:pPr>
        <w:pStyle w:val="Heading1"/>
      </w:pPr>
      <w:r>
        <w:t>2 Requisitos y puesta en marcha</w:t>
      </w:r>
    </w:p>
    <w:p>
      <w:r>
        <w:t>La aplicación de escritorio se ha compilado para Windows como una carpeta que contiene SLAMCart3D.exe y sus dependencias. La compilación fue autoverificada en el equipo de desarrollo; aún no se ha comprobado en un Windows limpio. Para ejecutar los ejemplos desde el código, se necesita Python 3.10 o posterior y las dependencias del archivo pyproject.toml.</w:t>
      </w:r>
    </w:p>
    <w:p>
      <w:pPr>
        <w:ind w:left="360" w:hanging="288"/>
      </w:pPr>
      <w:r>
        <w:t xml:space="preserve">1.  </w:t>
      </w:r>
      <w:r>
        <w:t>Extraiga íntegramente el ZIP del ejecutable dentro de una carpeta con permisos de escritura.</w:t>
      </w:r>
    </w:p>
    <w:p>
      <w:pPr>
        <w:ind w:left="360" w:hanging="288"/>
      </w:pPr>
      <w:r>
        <w:t xml:space="preserve">2.  </w:t>
      </w:r>
      <w:r>
        <w:t>Abra la carpeta SLAMCart3D y ejecute SLAMCart3D.exe.</w:t>
      </w:r>
    </w:p>
    <w:p>
      <w:pPr>
        <w:ind w:left="360" w:hanging="288"/>
      </w:pPr>
      <w:r>
        <w:t xml:space="preserve">3.  </w:t>
      </w:r>
      <w:r>
        <w:t>Elija Español o English en la esquina superior derecha; el cambio conserva los valores del formulario.</w:t>
      </w:r>
    </w:p>
    <w:p>
      <w:pPr>
        <w:ind w:left="360" w:hanging="288"/>
      </w:pPr>
      <w:r>
        <w:t xml:space="preserve">4.  </w:t>
      </w:r>
      <w:r>
        <w:t>Cargue un archivo YAML de configs o configure los campos de la pestaña Experimento.</w:t>
      </w:r>
    </w:p>
    <w:p>
      <w:r>
        <w:t>El destino predeterminado de los resultados está junto al ejecutable. Si ese directorio no admite escritura, el programa muestra un error y no redirige los archivos silenciosamente; seleccione una carpeta de salida permitida antes de volver a ejecutar.</w:t>
      </w:r>
    </w:p>
    <w:p>
      <w:r>
        <w:t>El ejecutable incluye sus dependencias y no necesita activar un entorno virtual. La carpeta .runtime, junto a la aplicación, guarda sus cachés y temporales. Para probar el código dentro del entorno virtual del proyecto, ejecute .venv\Scripts\slamcart3d-gui.exe desde la carpeta principal. Cierre una ventana abierta antes de probar una versión actualizada.</w:t>
      </w:r>
    </w:p>
    <w:p>
      <w:pPr>
        <w:pStyle w:val="Heading1"/>
      </w:pPr>
      <w:r>
        <w:t>3 Configuración de un experimento</w:t>
      </w:r>
    </w:p>
    <w:p>
      <w:pPr>
        <w:keepNext/>
        <w:jc w:val="center"/>
      </w:pPr>
      <w:r>
        <w:drawing>
          <wp:inline xmlns:a="http://schemas.openxmlformats.org/drawingml/2006/main" xmlns:pic="http://schemas.openxmlformats.org/drawingml/2006/picture">
            <wp:extent cx="5943600" cy="3820886"/>
            <wp:docPr id="1" name="Picture 1"/>
            <wp:cNvGraphicFramePr>
              <a:graphicFrameLocks noChangeAspect="1"/>
            </wp:cNvGraphicFramePr>
            <a:graphic>
              <a:graphicData uri="http://schemas.openxmlformats.org/drawingml/2006/picture">
                <pic:pic>
                  <pic:nvPicPr>
                    <pic:cNvPr id="0" name="gui_experiment.png"/>
                    <pic:cNvPicPr/>
                  </pic:nvPicPr>
                  <pic:blipFill>
                    <a:blip r:embed="rId9"/>
                    <a:stretch>
                      <a:fillRect/>
                    </a:stretch>
                  </pic:blipFill>
                  <pic:spPr>
                    <a:xfrm>
                      <a:off x="0" y="0"/>
                      <a:ext cx="5943600" cy="3820886"/>
                    </a:xfrm>
                    <a:prstGeom prst="rect"/>
                  </pic:spPr>
                </pic:pic>
              </a:graphicData>
            </a:graphic>
          </wp:inline>
        </w:drawing>
      </w:r>
    </w:p>
    <w:p>
      <w:pPr>
        <w:spacing w:after="240"/>
        <w:jc w:val="center"/>
      </w:pPr>
      <w:r>
        <w:rPr>
          <w:i/>
          <w:sz w:val="18"/>
        </w:rPr>
        <w:t>Figura 1. Formulario real de SLAMCart3D con el ejemplo de LiDAR multicapa cargado. La pestaña muestra los parámetros principales y conserva opciones avanzadas del YAML.</w:t>
      </w:r>
    </w:p>
    <w:p>
      <w:r>
        <w:t>En Experimento, seleccione el mundo, el algoritmo y el perfil de movimiento; indique semilla, duración, paso temporal, velocidad y degradaciones. Puede activar LiDAR multicapa 3D, cámara RGB-D esquemática y mapa de ocupación 2D. El botón Guardar configuración escribe un YAML reutilizable. Por defecto, el carrito se detiene al encontrar una pared estática. Los segmentos del movimiento programado y otros ajustes detallados se editan en el YAML.</w:t>
      </w:r>
    </w:p>
    <w:p>
      <w:pPr>
        <w:pStyle w:val="Heading2"/>
      </w:pPr>
      <w:r>
        <w:t>Escena modificable y seguridad del recorrido</w:t>
      </w:r>
    </w:p>
    <w:p>
      <w:r>
        <w:t>Elija Entorno personalizado para editar una pared por línea con cinco valores: x1, y1, x2, y2 y altura, todos en metros. Los cuatro primeros delimitan el segmento sobre el suelo y el último determina su altura. Guarde la configuración para repetir la misma escena. Detener carrito al chocar con paredes evita que la trayectoria atraviese muros estáticos mediante una respuesta simple de parada; no equivale a navegación autónoma ni a un modelo completo de colisiones.</w:t>
      </w:r>
    </w:p>
    <w:p>
      <w:pPr>
        <w:keepNext/>
        <w:jc w:val="center"/>
      </w:pPr>
      <w:r>
        <w:drawing>
          <wp:inline xmlns:a="http://schemas.openxmlformats.org/drawingml/2006/main" xmlns:pic="http://schemas.openxmlformats.org/drawingml/2006/picture">
            <wp:extent cx="5943600" cy="3820886"/>
            <wp:docPr id="2" name="Picture 2"/>
            <wp:cNvGraphicFramePr>
              <a:graphicFrameLocks noChangeAspect="1"/>
            </wp:cNvGraphicFramePr>
            <a:graphic>
              <a:graphicData uri="http://schemas.openxmlformats.org/drawingml/2006/picture">
                <pic:pic>
                  <pic:nvPicPr>
                    <pic:cNvPr id="0" name="gui_custom_editor.png"/>
                    <pic:cNvPicPr/>
                  </pic:nvPicPr>
                  <pic:blipFill>
                    <a:blip r:embed="rId10"/>
                    <a:stretch>
                      <a:fillRect/>
                    </a:stretch>
                  </pic:blipFill>
                  <pic:spPr>
                    <a:xfrm>
                      <a:off x="0" y="0"/>
                      <a:ext cx="5943600" cy="3820886"/>
                    </a:xfrm>
                    <a:prstGeom prst="rect"/>
                  </pic:spPr>
                </pic:pic>
              </a:graphicData>
            </a:graphic>
          </wp:inline>
        </w:drawing>
      </w:r>
    </w:p>
    <w:p>
      <w:pPr>
        <w:spacing w:after="240"/>
        <w:jc w:val="center"/>
      </w:pPr>
      <w:r>
        <w:rPr>
          <w:i/>
          <w:sz w:val="18"/>
        </w:rPr>
        <w:t>Figura 2. Editor real del entorno personalizado. Los segmentos determinan paredes visibles y superficies que interceptan los sensores de la misma corrida.</w:t>
      </w:r>
    </w:p>
    <w:p>
      <w:pPr>
        <w:keepNext/>
        <w:jc w:val="center"/>
      </w:pPr>
      <w:r>
        <w:drawing>
          <wp:inline xmlns:a="http://schemas.openxmlformats.org/drawingml/2006/main" xmlns:pic="http://schemas.openxmlformats.org/drawingml/2006/picture">
            <wp:extent cx="5943600" cy="3820886"/>
            <wp:docPr id="3" name="Picture 3"/>
            <wp:cNvGraphicFramePr>
              <a:graphicFrameLocks noChangeAspect="1"/>
            </wp:cNvGraphicFramePr>
            <a:graphic>
              <a:graphicData uri="http://schemas.openxmlformats.org/drawingml/2006/picture">
                <pic:pic>
                  <pic:nvPicPr>
                    <pic:cNvPr id="0" name="gui_custom_scene.png"/>
                    <pic:cNvPicPr/>
                  </pic:nvPicPr>
                  <pic:blipFill>
                    <a:blip r:embed="rId11"/>
                    <a:stretch>
                      <a:fillRect/>
                    </a:stretch>
                  </pic:blipFill>
                  <pic:spPr>
                    <a:xfrm>
                      <a:off x="0" y="0"/>
                      <a:ext cx="5943600" cy="3820886"/>
                    </a:xfrm>
                    <a:prstGeom prst="rect"/>
                  </pic:spPr>
                </pic:pic>
              </a:graphicData>
            </a:graphic>
          </wp:inline>
        </w:drawing>
      </w:r>
    </w:p>
    <w:p>
      <w:pPr>
        <w:spacing w:after="240"/>
        <w:jc w:val="center"/>
      </w:pPr>
      <w:r>
        <w:rPr>
          <w:i/>
          <w:sz w:val="18"/>
        </w:rPr>
        <w:t>Figura 3. Escena 3D resultante tras ejecutar el entorno personalizado: suelo cuadriculado en z=0, paredes verticales, carrito orientado y puntos medidos situados con la pose estimada.</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Campo principal</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Cómo interpretarlo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Semilla [entero]</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Repita exactamente la misma realización de mundo y perturbaciones.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Duración y paso [s]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La duración debe ser un múltiplo entero del paso temporal.</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Velocidad longitudinal [m/s]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Comando del centro del vehículo para perfiles no programados.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Velocidad de giro [rad/s]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Comando angular; los tramos YAML la reemplazan en modo programado.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Ruido LiDAR σ [m]</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Desviación estándar de la perturbación de distancia de retornos válidos.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Pérdida LiDAR [0–1]</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Probabilidad de que una medida de haz no esté disponible.</w:t>
            </w:r>
          </w:p>
        </w:tc>
      </w:tr>
    </w:tbl>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Selección</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Efecto sobre la corrida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Odometría de ruedas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Integra las ruedas medidas y transforma los puntos LiDAR con la pose estimada.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Fusión ruedas e IMU</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Usa velocidad longitudinal de ruedas y giro de IMU; vuelve al giro de ruedas si falta IMU.</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Odometría ICP</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Registra escaneos LiDAR consecutivos con una predicción de ruedas como prior.</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Híbrido adaptativo propuesto</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Combina ruedas e IMU con corrección LiDAR contra el mapa y confianza observacional en línea.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Semilla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Fija la secuencia pseudoaleatoria para repetir sensores y degradaciones.</w:t>
            </w:r>
          </w:p>
        </w:tc>
      </w:tr>
    </w:tbl>
    <w:p/>
    <w:p>
      <w:pPr>
        <w:pStyle w:val="Heading1"/>
      </w:pPr>
      <w:r>
        <w:t>4 Ejecución y lectura de resultados</w:t>
      </w:r>
    </w:p>
    <w:p>
      <w:pPr>
        <w:ind w:left="360" w:hanging="288"/>
      </w:pPr>
      <w:r>
        <w:t xml:space="preserve">1.  </w:t>
      </w:r>
      <w:r>
        <w:t>Pulse Ejecutar experimento. La escena avanza paso a paso mientras los CSV parciales se guardan en la carpeta EXP.</w:t>
      </w:r>
    </w:p>
    <w:p>
      <w:pPr>
        <w:ind w:left="360" w:hanging="288"/>
      </w:pPr>
      <w:r>
        <w:t xml:space="preserve">2.  </w:t>
      </w:r>
      <w:r>
        <w:t>Use Anterior, Siguiente o la barra temporal para revisar cualquier paso ya calculado, incluso antes de terminar.</w:t>
      </w:r>
    </w:p>
    <w:p>
      <w:pPr>
        <w:ind w:left="360" w:hanging="288"/>
      </w:pPr>
      <w:r>
        <w:t xml:space="preserve">3.  </w:t>
      </w:r>
      <w:r>
        <w:t>Revise Trayectoria y mapa para comparar la ruta verdadera con la estimada y los puntos LiDAR.</w:t>
      </w:r>
    </w:p>
    <w:p>
      <w:pPr>
        <w:ind w:left="360" w:hanging="288"/>
      </w:pPr>
      <w:r>
        <w:t xml:space="preserve">4.  </w:t>
      </w:r>
      <w:r>
        <w:t>Abra Métricas para consultar ATE, RPE, deriva, disponibilidad y calidad del mapa.</w:t>
      </w:r>
    </w:p>
    <w:p>
      <w:pPr>
        <w:ind w:left="360" w:hanging="288"/>
      </w:pPr>
      <w:r>
        <w:t xml:space="preserve">5.  </w:t>
      </w:r>
      <w:r>
        <w:t>En Nube 3D, arrastre para girar y use la rueda para acercar. Active LiDAR multicapa para obtener puntos XYZ.</w:t>
      </w:r>
    </w:p>
    <w:p>
      <w:pPr>
        <w:ind w:left="360" w:hanging="288"/>
      </w:pPr>
      <w:r>
        <w:t xml:space="preserve">6.  </w:t>
      </w:r>
      <w:r>
        <w:t>Desmarque Mostrar realidad simulada para ver solo la estimación; vuelva a marcarla para contrastarla.</w:t>
      </w:r>
    </w:p>
    <w:p>
      <w:pPr>
        <w:ind w:left="360" w:hanging="288"/>
      </w:pPr>
      <w:r>
        <w:t xml:space="preserve">7.  </w:t>
      </w:r>
      <w:r>
        <w:t>Examine los CSV, el YAML y metadata.json en la subcarpeta EXP creada en resultados.</w:t>
      </w:r>
    </w:p>
    <w:p>
      <w:pPr>
        <w:keepNext/>
        <w:jc w:val="center"/>
      </w:pPr>
      <w:r>
        <w:drawing>
          <wp:inline xmlns:a="http://schemas.openxmlformats.org/drawingml/2006/main" xmlns:pic="http://schemas.openxmlformats.org/drawingml/2006/picture">
            <wp:extent cx="5943600" cy="3820886"/>
            <wp:docPr id="4" name="Picture 4"/>
            <wp:cNvGraphicFramePr>
              <a:graphicFrameLocks noChangeAspect="1"/>
            </wp:cNvGraphicFramePr>
            <a:graphic>
              <a:graphicData uri="http://schemas.openxmlformats.org/drawingml/2006/picture">
                <pic:pic>
                  <pic:nvPicPr>
                    <pic:cNvPr id="0" name="gui_scene.png"/>
                    <pic:cNvPicPr/>
                  </pic:nvPicPr>
                  <pic:blipFill>
                    <a:blip r:embed="rId12"/>
                    <a:stretch>
                      <a:fillRect/>
                    </a:stretch>
                  </pic:blipFill>
                  <pic:spPr>
                    <a:xfrm>
                      <a:off x="0" y="0"/>
                      <a:ext cx="5943600" cy="3820886"/>
                    </a:xfrm>
                    <a:prstGeom prst="rect"/>
                  </pic:spPr>
                </pic:pic>
              </a:graphicData>
            </a:graphic>
          </wp:inline>
        </w:drawing>
      </w:r>
    </w:p>
    <w:p>
      <w:pPr>
        <w:spacing w:after="240"/>
        <w:jc w:val="center"/>
      </w:pPr>
      <w:r>
        <w:rPr>
          <w:i/>
          <w:sz w:val="18"/>
        </w:rPr>
        <w:t>Figura 4. Pestaña Trayectoria y mapa después de pulsar Ejecutar experimento. Las rutas verdadera y estimada casi coinciden en esta corrida; los puntos azules son retornos LiDAR colocados con la pose estimada.</w:t>
      </w:r>
    </w:p>
    <w:p>
      <w:pPr>
        <w:keepNext/>
        <w:jc w:val="center"/>
      </w:pPr>
      <w:r>
        <w:drawing>
          <wp:inline xmlns:a="http://schemas.openxmlformats.org/drawingml/2006/main" xmlns:pic="http://schemas.openxmlformats.org/drawingml/2006/picture">
            <wp:extent cx="5943600" cy="3820886"/>
            <wp:docPr id="5" name="Picture 5"/>
            <wp:cNvGraphicFramePr>
              <a:graphicFrameLocks noChangeAspect="1"/>
            </wp:cNvGraphicFramePr>
            <a:graphic>
              <a:graphicData uri="http://schemas.openxmlformats.org/drawingml/2006/picture">
                <pic:pic>
                  <pic:nvPicPr>
                    <pic:cNvPr id="0" name="gui_metrics.png"/>
                    <pic:cNvPicPr/>
                  </pic:nvPicPr>
                  <pic:blipFill>
                    <a:blip r:embed="rId13"/>
                    <a:stretch>
                      <a:fillRect/>
                    </a:stretch>
                  </pic:blipFill>
                  <pic:spPr>
                    <a:xfrm>
                      <a:off x="0" y="0"/>
                      <a:ext cx="5943600" cy="3820886"/>
                    </a:xfrm>
                    <a:prstGeom prst="rect"/>
                  </pic:spPr>
                </pic:pic>
              </a:graphicData>
            </a:graphic>
          </wp:inline>
        </w:drawing>
      </w:r>
    </w:p>
    <w:p>
      <w:pPr>
        <w:spacing w:after="240"/>
        <w:jc w:val="center"/>
      </w:pPr>
      <w:r>
        <w:rPr>
          <w:i/>
          <w:sz w:val="18"/>
        </w:rPr>
        <w:t>Figura 5. Pestaña Métricas de la misma ejecución. Cada fila muestra una magnitud y su unidad; el tiempo de cómputo depende del equipo y no debe interpretarse como medida de precisión.</w:t>
      </w:r>
    </w:p>
    <w:p>
      <w:r>
        <w:t>ATE RMSE y RPE traslacional se expresan en metros; valores menores indican menor error. La disponibilidad mide poses finitas y no demuestra que el seguimiento sea preciso. El F1 del mapa combina precisión y cobertura de paredes; áreas no observadas pueden reducir el recall. El contador de contacto con paredes revisa la trayectoria central muestreada, sin radio del chasis.</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Métrica</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Lectura correcta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ATE RMSE [m]</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Error global de posición tras una alineación rígida SE(2), sin escala.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RPE traslacional [m]</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Error de desplazamiento relativo entre poses consecutivas.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RPE angular [rad]</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Error de giro relativo entre poses consecutivas.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F1 de mapa [0–1]</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Equilibrio entre coincidencias y cobertura de paredes estáticas.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Disponibilidad [0–1]</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Fracción de estimaciones finitas, no porcentaje de poses exactas.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Tiempo [s]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Costo observado en ese equipo; no compare entre equipos sin control.</w:t>
            </w:r>
          </w:p>
        </w:tc>
      </w:tr>
    </w:tbl>
    <w:p/>
    <w:p>
      <w:r>
        <w:t>En la carpeta EXP, config.yaml representa las entradas exactas; metadata.json conserva identificador, algoritmo, semilla y huella del código; trajectory.csv permite graficar ambas rutas sin abrir la GUI; metrics.csv contiene un valor por métrica; map/ contiene el mapa puntual y los productos opcionales de nube u ocupación. Guarde la carpeta completa al comunicar un resultado, porque una figura sin configuración y semilla no basta para repetirlo.</w:t>
      </w:r>
    </w:p>
    <w:p>
      <w:pPr>
        <w:pStyle w:val="Heading1"/>
      </w:pPr>
      <w:r>
        <w:t>5 Ejemplo reproducible con vista tridimensional</w:t>
      </w:r>
    </w:p>
    <w:p>
      <w:r>
        <w:t>Las figuras 6 a 9 son capturas de la pestaña Nube 3D durante una ejecución real de configs/example_multilayer_lidar.yaml con semilla 42 y odometría de ruedas. Se pulsó Ejecutar experimento y después se giró la vista arrastrando con el ratón. La tabla recoge una corrida de referencia con la misma configuración. Cada ejecución recibe un identificador nuevo; las métricas, salvo el tiempo de cómputo, coincidieron con las de las capturas. También puede reproducirla desde la consola:</w:t>
      </w:r>
    </w:p>
    <w:p>
      <w:pPr>
        <w:spacing w:before="60" w:after="200"/>
        <w:ind w:left="288"/>
      </w:pPr>
      <w:r>
        <w:rPr>
          <w:rFonts w:ascii="Consolas" w:hAnsi="Consolas"/>
          <w:sz w:val="18"/>
        </w:rPr>
        <w:t>slamcart3d run configs/example_multilayer_lidar.yaml --plot</w:t>
      </w:r>
    </w:p>
    <w:p>
      <w:pPr>
        <w:keepNext/>
        <w:jc w:val="center"/>
      </w:pPr>
      <w:r>
        <w:drawing>
          <wp:inline xmlns:a="http://schemas.openxmlformats.org/drawingml/2006/main" xmlns:pic="http://schemas.openxmlformats.org/drawingml/2006/picture">
            <wp:extent cx="5943600" cy="3820886"/>
            <wp:docPr id="6" name="Picture 6"/>
            <wp:cNvGraphicFramePr>
              <a:graphicFrameLocks noChangeAspect="1"/>
            </wp:cNvGraphicFramePr>
            <a:graphic>
              <a:graphicData uri="http://schemas.openxmlformats.org/drawingml/2006/picture">
                <pic:pic>
                  <pic:nvPicPr>
                    <pic:cNvPr id="0" name="gui_cloud3d.png"/>
                    <pic:cNvPicPr/>
                  </pic:nvPicPr>
                  <pic:blipFill>
                    <a:blip r:embed="rId14"/>
                    <a:stretch>
                      <a:fillRect/>
                    </a:stretch>
                  </pic:blipFill>
                  <pic:spPr>
                    <a:xfrm>
                      <a:off x="0" y="0"/>
                      <a:ext cx="5943600" cy="3820886"/>
                    </a:xfrm>
                    <a:prstGeom prst="rect"/>
                  </pic:spPr>
                </pic:pic>
              </a:graphicData>
            </a:graphic>
          </wp:inline>
        </w:drawing>
      </w:r>
    </w:p>
    <w:p>
      <w:pPr>
        <w:spacing w:after="240"/>
        <w:jc w:val="center"/>
      </w:pPr>
      <w:r>
        <w:rPr>
          <w:i/>
          <w:sz w:val="18"/>
        </w:rPr>
        <w:t>Figura 6. Pestaña Nube 3D con 6 550 puntos de la corrida repetida. El suelo es la cuadrícula en z=0; las superficies azules son paredes verdaderas, los puntos cian el mapa estimado y los carritos verde y naranja muestran pose verdadera y estimada.</w:t>
      </w:r>
    </w:p>
    <w:p>
      <w:pPr>
        <w:keepNext/>
        <w:jc w:val="center"/>
      </w:pPr>
      <w:r>
        <w:drawing>
          <wp:inline xmlns:a="http://schemas.openxmlformats.org/drawingml/2006/main" xmlns:pic="http://schemas.openxmlformats.org/drawingml/2006/picture">
            <wp:extent cx="5943600" cy="3124536"/>
            <wp:docPr id="7" name="Picture 7"/>
            <wp:cNvGraphicFramePr>
              <a:graphicFrameLocks noChangeAspect="1"/>
            </wp:cNvGraphicFramePr>
            <a:graphic>
              <a:graphicData uri="http://schemas.openxmlformats.org/drawingml/2006/picture">
                <pic:pic>
                  <pic:nvPicPr>
                    <pic:cNvPr id="0" name="gui_cloud3d_rotated_view.png"/>
                    <pic:cNvPicPr/>
                  </pic:nvPicPr>
                  <pic:blipFill>
                    <a:blip r:embed="rId15"/>
                    <a:stretch>
                      <a:fillRect/>
                    </a:stretch>
                  </pic:blipFill>
                  <pic:spPr>
                    <a:xfrm>
                      <a:off x="0" y="0"/>
                      <a:ext cx="5943600" cy="3124536"/>
                    </a:xfrm>
                    <a:prstGeom prst="rect"/>
                  </pic:spPr>
                </pic:pic>
              </a:graphicData>
            </a:graphic>
          </wp:inline>
        </w:drawing>
      </w:r>
    </w:p>
    <w:p>
      <w:pPr>
        <w:spacing w:after="240"/>
        <w:jc w:val="center"/>
      </w:pPr>
      <w:r>
        <w:rPr>
          <w:i/>
          <w:sz w:val="18"/>
        </w:rPr>
        <w:t>Figura 7. Captura de la misma vista 3D tras arrastrar con el ratón. El cambio de perspectiva permite ver alturas y paredes sin alterar los datos de la corrida.</w:t>
      </w:r>
    </w:p>
    <w:p>
      <w:pPr>
        <w:keepNext/>
        <w:jc w:val="center"/>
      </w:pPr>
      <w:r>
        <w:drawing>
          <wp:inline xmlns:a="http://schemas.openxmlformats.org/drawingml/2006/main" xmlns:pic="http://schemas.openxmlformats.org/drawingml/2006/picture">
            <wp:extent cx="5943600" cy="3820886"/>
            <wp:docPr id="8" name="Picture 8"/>
            <wp:cNvGraphicFramePr>
              <a:graphicFrameLocks noChangeAspect="1"/>
            </wp:cNvGraphicFramePr>
            <a:graphic>
              <a:graphicData uri="http://schemas.openxmlformats.org/drawingml/2006/picture">
                <pic:pic>
                  <pic:nvPicPr>
                    <pic:cNvPr id="0" name="gui_cloud3d_step.png"/>
                    <pic:cNvPicPr/>
                  </pic:nvPicPr>
                  <pic:blipFill>
                    <a:blip r:embed="rId16"/>
                    <a:stretch>
                      <a:fillRect/>
                    </a:stretch>
                  </pic:blipFill>
                  <pic:spPr>
                    <a:xfrm>
                      <a:off x="0" y="0"/>
                      <a:ext cx="5943600" cy="3820886"/>
                    </a:xfrm>
                    <a:prstGeom prst="rect"/>
                  </pic:spPr>
                </pic:pic>
              </a:graphicData>
            </a:graphic>
          </wp:inline>
        </w:drawing>
      </w:r>
    </w:p>
    <w:p>
      <w:pPr>
        <w:spacing w:after="240"/>
        <w:jc w:val="center"/>
      </w:pPr>
      <w:r>
        <w:rPr>
          <w:i/>
          <w:sz w:val="18"/>
        </w:rPr>
        <w:t>Figura 8. Paso 10 de 40 recuperado con la barra temporal: se ven solo los puntos acumulados hasta ese instante, junto con el carrito y la geometría del entorno.</w:t>
      </w:r>
    </w:p>
    <w:p>
      <w:pPr>
        <w:keepNext/>
        <w:jc w:val="center"/>
      </w:pPr>
      <w:r>
        <w:drawing>
          <wp:inline xmlns:a="http://schemas.openxmlformats.org/drawingml/2006/main" xmlns:pic="http://schemas.openxmlformats.org/drawingml/2006/picture">
            <wp:extent cx="5943600" cy="3820886"/>
            <wp:docPr id="9" name="Picture 9"/>
            <wp:cNvGraphicFramePr>
              <a:graphicFrameLocks noChangeAspect="1"/>
            </wp:cNvGraphicFramePr>
            <a:graphic>
              <a:graphicData uri="http://schemas.openxmlformats.org/drawingml/2006/picture">
                <pic:pic>
                  <pic:nvPicPr>
                    <pic:cNvPr id="0" name="gui_estimation_only.png"/>
                    <pic:cNvPicPr/>
                  </pic:nvPicPr>
                  <pic:blipFill>
                    <a:blip r:embed="rId17"/>
                    <a:stretch>
                      <a:fillRect/>
                    </a:stretch>
                  </pic:blipFill>
                  <pic:spPr>
                    <a:xfrm>
                      <a:off x="0" y="0"/>
                      <a:ext cx="5943600" cy="3820886"/>
                    </a:xfrm>
                    <a:prstGeom prst="rect"/>
                  </pic:spPr>
                </pic:pic>
              </a:graphicData>
            </a:graphic>
          </wp:inline>
        </w:drawing>
      </w:r>
    </w:p>
    <w:p>
      <w:pPr>
        <w:spacing w:after="240"/>
        <w:jc w:val="center"/>
      </w:pPr>
      <w:r>
        <w:rPr>
          <w:i/>
          <w:sz w:val="18"/>
        </w:rPr>
        <w:t>Figura 9. La misma corrida con Mostrar realidad simulada desactivado. Solo queda la información estimada; la referencia verdadera sigue disponible para calcular métricas, pero no se muestra.</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Dato verificado</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Resultado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Identificador</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EXP-71EEDD205D56</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Semilla y algoritmo</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42; dead_reckoning</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Puntos 3D medidos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6 550</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ATE RMSE</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0.000118 m</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F1 de paredes 3D</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0.6192</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Contacto central con paredes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Pasos detenidos por paredes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Huella SHA-256 del código</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43c8b93e4a1916b52ec1fe6a41523b49fccdec5b797e731386db86e79292a2dd</w:t>
            </w:r>
          </w:p>
        </w:tc>
      </w:tr>
    </w:tbl>
    <w:p/>
    <w:p>
      <w:r>
        <w:t>El F1 de pared 3D usa superficies estáticas como referencia y excluye retornos cercanos al suelo. Su recall baja cuando la trayectoria no observa todas las paredes. Las cifras describen esta configuración y esta semilla; no establecen la precisión general de otro algoritmo o entorno.</w:t>
      </w:r>
    </w:p>
    <w:p>
      <w:pPr>
        <w:pStyle w:val="Heading1"/>
      </w:pPr>
      <w:r>
        <w:t>6 Otros flujos de trabajo</w:t>
      </w:r>
    </w:p>
    <w:p>
      <w:pPr>
        <w:pStyle w:val="Heading2"/>
      </w:pPr>
      <w:r>
        <w:t>Lotes comparativos</w:t>
      </w:r>
    </w:p>
    <w:p>
      <w:r>
        <w:t>En Lotes, elija mundos, algoritmos y semillas. El programa ejecuta todas las combinaciones y exporta cada corrida junto con summary.csv y paired_effects.csv. Compare algoritmos con las mismas semillas; las diferencias pareadas son descriptivas, no pruebas de significancia.</w:t>
      </w:r>
    </w:p>
    <w:p>
      <w:pPr>
        <w:ind w:left="360" w:hanging="288"/>
      </w:pPr>
      <w:r>
        <w:t xml:space="preserve">1.  </w:t>
      </w:r>
      <w:r>
        <w:t>Marque al menos un mundo y un algoritmo y escriba semillas enteras diferentes separadas por comas.</w:t>
      </w:r>
    </w:p>
    <w:p>
      <w:pPr>
        <w:ind w:left="360" w:hanging="288"/>
      </w:pPr>
      <w:r>
        <w:t xml:space="preserve">2.  </w:t>
      </w:r>
      <w:r>
        <w:t>Ejecute el lote y espere a que la tabla muestre promedios por mundo, algoritmo y métrica.</w:t>
      </w:r>
    </w:p>
    <w:p>
      <w:pPr>
        <w:ind w:left="360" w:hanging="288"/>
      </w:pPr>
      <w:r>
        <w:t xml:space="preserve">3.  </w:t>
      </w:r>
      <w:r>
        <w:t>Abra runs.csv para revisar cada combinación y summary.csv para dispersión e intervalos descriptivos.</w:t>
      </w:r>
    </w:p>
    <w:p>
      <w:pPr>
        <w:ind w:left="360" w:hanging="288"/>
      </w:pPr>
      <w:r>
        <w:t xml:space="preserve">4.  </w:t>
      </w:r>
      <w:r>
        <w:t>Consulte paired_effects.csv solo para algoritmos evaluados con las mismas semillas.</w:t>
      </w:r>
    </w:p>
    <w:p>
      <w:pPr>
        <w:keepNext/>
        <w:jc w:val="center"/>
      </w:pPr>
      <w:r>
        <w:drawing>
          <wp:inline xmlns:a="http://schemas.openxmlformats.org/drawingml/2006/main" xmlns:pic="http://schemas.openxmlformats.org/drawingml/2006/picture">
            <wp:extent cx="5943600" cy="3820886"/>
            <wp:docPr id="10" name="Picture 10"/>
            <wp:cNvGraphicFramePr>
              <a:graphicFrameLocks noChangeAspect="1"/>
            </wp:cNvGraphicFramePr>
            <a:graphic>
              <a:graphicData uri="http://schemas.openxmlformats.org/drawingml/2006/picture">
                <pic:pic>
                  <pic:nvPicPr>
                    <pic:cNvPr id="0" name="gui_batch.png"/>
                    <pic:cNvPicPr/>
                  </pic:nvPicPr>
                  <pic:blipFill>
                    <a:blip r:embed="rId18"/>
                    <a:stretch>
                      <a:fillRect/>
                    </a:stretch>
                  </pic:blipFill>
                  <pic:spPr>
                    <a:xfrm>
                      <a:off x="0" y="0"/>
                      <a:ext cx="5943600" cy="3820886"/>
                    </a:xfrm>
                    <a:prstGeom prst="rect"/>
                  </pic:spPr>
                </pic:pic>
              </a:graphicData>
            </a:graphic>
          </wp:inline>
        </w:drawing>
      </w:r>
    </w:p>
    <w:p>
      <w:pPr>
        <w:spacing w:after="240"/>
        <w:jc w:val="center"/>
      </w:pPr>
      <w:r>
        <w:rPr>
          <w:i/>
          <w:sz w:val="18"/>
        </w:rPr>
        <w:t>Figura 10. Lotes después de pulsar Ejecutar lote. La selección visible usa dos semillas, un entorno y odometría de ruedas; la tabla presenta la media de cada métrica exportada.</w:t>
      </w:r>
    </w:p>
    <w:p>
      <w:pPr>
        <w:pStyle w:val="Heading2"/>
      </w:pPr>
      <w:r>
        <w:t>Estudio controlado de una variable</w:t>
      </w:r>
    </w:p>
    <w:p>
      <w:r>
        <w:t>En Estudio controlado, cambie solo una condición, elija varios niveles y repita las mismas semillas en cada nivel. La curva muestra la media de la métrica y un intervalo descriptivo; la línea roja marca el umbral de fallo configurado. Si la curva es plana, primero compruebe que el algoritmo elegido realmente utilice el sensor degradado. Por ejemplo, ruido LiDAR puede no cambiar la pose de la odometría de ruedas, aunque sí cambie su mapa.</w:t>
      </w:r>
    </w:p>
    <w:p>
      <w:pPr>
        <w:ind w:left="360" w:hanging="288"/>
      </w:pPr>
      <w:r>
        <w:t xml:space="preserve">1.  </w:t>
      </w:r>
      <w:r>
        <w:t>Seleccione una variable relevante para el algoritmo, como ruido de ruedas para odometría de ruedas.</w:t>
      </w:r>
    </w:p>
    <w:p>
      <w:pPr>
        <w:ind w:left="360" w:hanging="288"/>
      </w:pPr>
      <w:r>
        <w:t xml:space="preserve">2.  </w:t>
      </w:r>
      <w:r>
        <w:t>Defina mínimo, máximo y al menos dos niveles; escriba semillas enteras distintas y una métrica.</w:t>
      </w:r>
    </w:p>
    <w:p>
      <w:pPr>
        <w:ind w:left="360" w:hanging="288"/>
      </w:pPr>
      <w:r>
        <w:t xml:space="preserve">3.  </w:t>
      </w:r>
      <w:r>
        <w:t>Fije el umbral de fallo antes de examinar la curva y pulse Ejecutar estudio.</w:t>
      </w:r>
    </w:p>
    <w:p>
      <w:pPr>
        <w:ind w:left="360" w:hanging="288"/>
      </w:pPr>
      <w:r>
        <w:t xml:space="preserve">4.  </w:t>
      </w:r>
      <w:r>
        <w:t>Revise summary.csv, runs.csv y las carpetas de cada corrida antes de concluir una tendencia.</w:t>
      </w:r>
    </w:p>
    <w:p>
      <w:pPr>
        <w:keepNext/>
        <w:jc w:val="center"/>
      </w:pPr>
      <w:r>
        <w:drawing>
          <wp:inline xmlns:a="http://schemas.openxmlformats.org/drawingml/2006/main" xmlns:pic="http://schemas.openxmlformats.org/drawingml/2006/picture">
            <wp:extent cx="5943600" cy="3820886"/>
            <wp:docPr id="11" name="Picture 11"/>
            <wp:cNvGraphicFramePr>
              <a:graphicFrameLocks noChangeAspect="1"/>
            </wp:cNvGraphicFramePr>
            <a:graphic>
              <a:graphicData uri="http://schemas.openxmlformats.org/drawingml/2006/picture">
                <pic:pic>
                  <pic:nvPicPr>
                    <pic:cNvPr id="0" name="gui_controlled_study.png"/>
                    <pic:cNvPicPr/>
                  </pic:nvPicPr>
                  <pic:blipFill>
                    <a:blip r:embed="rId19"/>
                    <a:stretch>
                      <a:fillRect/>
                    </a:stretch>
                  </pic:blipFill>
                  <pic:spPr>
                    <a:xfrm>
                      <a:off x="0" y="0"/>
                      <a:ext cx="5943600" cy="3820886"/>
                    </a:xfrm>
                    <a:prstGeom prst="rect"/>
                  </pic:spPr>
                </pic:pic>
              </a:graphicData>
            </a:graphic>
          </wp:inline>
        </w:drawing>
      </w:r>
    </w:p>
    <w:p>
      <w:pPr>
        <w:spacing w:after="240"/>
        <w:jc w:val="center"/>
      </w:pPr>
      <w:r>
        <w:rPr>
          <w:i/>
          <w:sz w:val="18"/>
        </w:rPr>
        <w:t>Figura 11. Estudio controlado de ruido de ruedas: gráfica y tabla generadas por la interfaz tras ejecutar tres niveles y dos semillas pareadas. Es una demostración de uso; amplíe las semillas y escenarios antes de extraer conclusiones generales.</w:t>
      </w:r>
    </w:p>
    <w:p>
      <w:r>
        <w:t>Para comparar la propuesta híbrida, seleccione los cuatro estimadores en Lotes y mantenga iguales las condiciones y semillas. La evaluación completa con tres ablaciones está disponible en la consola mediante benchmark-hybrid; conserva las 140 corridas del protocolo predeterminado y las diferencias por semilla. El híbrido ofrece mejoras en algunas degradaciones, sin superar a todas las referencias en los experimentos disponibles.</w:t>
      </w:r>
    </w:p>
    <w:p>
      <w:pPr>
        <w:spacing w:before="60" w:after="200"/>
        <w:ind w:left="288"/>
      </w:pPr>
      <w:r>
        <w:rPr>
          <w:rFonts w:ascii="Consolas" w:hAnsi="Consolas"/>
          <w:sz w:val="18"/>
        </w:rPr>
        <w:t>slamcart3d benchmark-hybrid configs/example_adaptive_hybrid.yaml --plot</w:t>
      </w:r>
    </w:p>
    <w:p>
      <w:pPr>
        <w:pStyle w:val="Heading2"/>
      </w:pPr>
      <w:r>
        <w:t>Estudios de robustez ASRF</w:t>
      </w:r>
    </w:p>
    <w:p>
      <w:r>
        <w:t>En Robustez ASRF, seleccione dos condiciones experimentales diferentes, límites físicamente válidos, métrica, umbral, semillas y presupuesto. El mapa resultante representa una estimación exploratoria de fallo. Las probabilidades y la incertidumbre no están calibradas como garantías de seguridad; revise también los CSV por condición y semilla.</w:t>
      </w:r>
    </w:p>
    <w:p>
      <w:pPr>
        <w:ind w:left="360" w:hanging="288"/>
      </w:pPr>
      <w:r>
        <w:t xml:space="preserve">1.  </w:t>
      </w:r>
      <w:r>
        <w:t>Seleccione una variable horizontal y otra vertical; las dos deben ser distintas.</w:t>
      </w:r>
    </w:p>
    <w:p>
      <w:pPr>
        <w:ind w:left="360" w:hanging="288"/>
      </w:pPr>
      <w:r>
        <w:t xml:space="preserve">2.  </w:t>
      </w:r>
      <w:r>
        <w:t>Fije límites mínimo y máximo coherentes con cada unidad y elija una métrica y un umbral.</w:t>
      </w:r>
    </w:p>
    <w:p>
      <w:pPr>
        <w:ind w:left="360" w:hanging="288"/>
      </w:pPr>
      <w:r>
        <w:t xml:space="preserve">3.  </w:t>
      </w:r>
      <w:r>
        <w:t>Indique varias semillas y un presupuesto superior al diseño inicial de ocho condiciones.</w:t>
      </w:r>
    </w:p>
    <w:p>
      <w:pPr>
        <w:ind w:left="360" w:hanging="288"/>
      </w:pPr>
      <w:r>
        <w:t xml:space="preserve">4.  </w:t>
      </w:r>
      <w:r>
        <w:t>Ejecute y observe el mapa; contraste regiones coloreadas con los puntos muestreados.</w:t>
      </w:r>
    </w:p>
    <w:p>
      <w:pPr>
        <w:ind w:left="360" w:hanging="288"/>
      </w:pPr>
      <w:r>
        <w:t xml:space="preserve">5.  </w:t>
      </w:r>
      <w:r>
        <w:t>Revise observations.csv, seed_runs.csv y robustness_map.csv antes de interpretar la frontera.</w:t>
      </w:r>
    </w:p>
    <w:p>
      <w:pPr>
        <w:keepNext/>
        <w:jc w:val="center"/>
      </w:pPr>
      <w:r>
        <w:drawing>
          <wp:inline xmlns:a="http://schemas.openxmlformats.org/drawingml/2006/main" xmlns:pic="http://schemas.openxmlformats.org/drawingml/2006/picture">
            <wp:extent cx="5943600" cy="3820886"/>
            <wp:docPr id="12" name="Picture 12"/>
            <wp:cNvGraphicFramePr>
              <a:graphicFrameLocks noChangeAspect="1"/>
            </wp:cNvGraphicFramePr>
            <a:graphic>
              <a:graphicData uri="http://schemas.openxmlformats.org/drawingml/2006/picture">
                <pic:pic>
                  <pic:nvPicPr>
                    <pic:cNvPr id="0" name="gui_asrf.png"/>
                    <pic:cNvPicPr/>
                  </pic:nvPicPr>
                  <pic:blipFill>
                    <a:blip r:embed="rId20"/>
                    <a:stretch>
                      <a:fillRect/>
                    </a:stretch>
                  </pic:blipFill>
                  <pic:spPr>
                    <a:xfrm>
                      <a:off x="0" y="0"/>
                      <a:ext cx="5943600" cy="3820886"/>
                    </a:xfrm>
                    <a:prstGeom prst="rect"/>
                  </pic:spPr>
                </pic:pic>
              </a:graphicData>
            </a:graphic>
          </wp:inline>
        </w:drawing>
      </w:r>
    </w:p>
    <w:p>
      <w:pPr>
        <w:spacing w:after="240"/>
        <w:jc w:val="center"/>
      </w:pPr>
      <w:r>
        <w:rPr>
          <w:i/>
          <w:sz w:val="18"/>
        </w:rPr>
        <w:t>Figura 12. Robustez ASRF tras pulsar Estimar frontera ASRF. Los círculos marcan condiciones evaluadas; el color interpola un mapa exploratorio y no equivale a una probabilidad calibrada.</w:t>
      </w:r>
    </w:p>
    <w:p>
      <w:r>
        <w:t>Para métricas de error como ATE, superar el umbral significa fallo; para F1, IoU, SRS o disponibilidad, caer por debajo del umbral significa fallo. Una región uniforme en el mapa no demuestra que se haya observado toda la transición. Si solo se muestrea una clase, cambie límites o umbral y repita con más semillas.</w:t>
      </w:r>
    </w:p>
    <w:p>
      <w:pPr>
        <w:pStyle w:val="Heading2"/>
      </w:pPr>
      <w:r>
        <w:t>Datasets y mapas de ocupación</w:t>
      </w:r>
    </w:p>
    <w:p>
      <w:r>
        <w:t>En Dataset se exportan observaciones ideales y degradadas sin ejecutar un algoritmo SLAM. La cámara RGB-D, si está activa, ofrece una vista previa y escribe RGB y profundidad. Ocupación 2D dibuja celdas ocupadas, libres observadas y desconocidas para las corridas que habilitan ese mapa; un haz ausente nunca convierte su zona en libre.</w:t>
      </w:r>
    </w:p>
    <w:p>
      <w:r>
        <w:t>El dataset exporta ground_truth.csv, rangos LiDAR ideales y medidos, velocidades de rueda y canales IMU; también crea archivos de cámara o LiDAR multicapa si están habilitados. Una celda vacía en un CSV de medidas indica falta de observación, no distancia cero. En la pestaña Ocupación 2D, azul indica espacio libre observado, naranja una celda ocupada por retorno y fondo oscuro espacio desconocido. Las paredes de referencia sirven de contraste y pueden quedar sin observar.</w:t>
      </w:r>
    </w:p>
    <w:p>
      <w:pPr>
        <w:keepNext/>
        <w:jc w:val="center"/>
      </w:pPr>
      <w:r>
        <w:drawing>
          <wp:inline xmlns:a="http://schemas.openxmlformats.org/drawingml/2006/main" xmlns:pic="http://schemas.openxmlformats.org/drawingml/2006/picture">
            <wp:extent cx="5943600" cy="3820886"/>
            <wp:docPr id="13" name="Picture 13"/>
            <wp:cNvGraphicFramePr>
              <a:graphicFrameLocks noChangeAspect="1"/>
            </wp:cNvGraphicFramePr>
            <a:graphic>
              <a:graphicData uri="http://schemas.openxmlformats.org/drawingml/2006/picture">
                <pic:pic>
                  <pic:nvPicPr>
                    <pic:cNvPr id="0" name="gui_dataset.png"/>
                    <pic:cNvPicPr/>
                  </pic:nvPicPr>
                  <pic:blipFill>
                    <a:blip r:embed="rId21"/>
                    <a:stretch>
                      <a:fillRect/>
                    </a:stretch>
                  </pic:blipFill>
                  <pic:spPr>
                    <a:xfrm>
                      <a:off x="0" y="0"/>
                      <a:ext cx="5943600" cy="3820886"/>
                    </a:xfrm>
                    <a:prstGeom prst="rect"/>
                  </pic:spPr>
                </pic:pic>
              </a:graphicData>
            </a:graphic>
          </wp:inline>
        </w:drawing>
      </w:r>
    </w:p>
    <w:p>
      <w:pPr>
        <w:spacing w:after="240"/>
        <w:jc w:val="center"/>
      </w:pPr>
      <w:r>
        <w:rPr>
          <w:i/>
          <w:sz w:val="18"/>
        </w:rPr>
        <w:t>Figura 13. Pestaña Dataset después de pulsar Generar dataset con cámara activada. La imagen es un cuadro RGB medido de la cámara esquemática; su aspecto pixelado corresponde a la baja resolución elegida para esta prueba.</w:t>
      </w:r>
    </w:p>
    <w:p>
      <w:r>
        <w:t>La siguiente figura proviene de ejecutar configs/example_occupancy_grid.yaml con semilla 42 e ICP. Su ID es EXP-BC675BED114B, su ATE RMSE es 0.009939 m, IoU de ocupado es 0.116943 y exactitud de libre observado 0.977435. La IoU relativamente baja incluye muros de salas que el robot no recorrió; no implica que toda celda libre observada sea errónea. El contador de contacto central con paredes fue cero.</w:t>
      </w:r>
    </w:p>
    <w:p>
      <w:pPr>
        <w:keepNext/>
        <w:jc w:val="center"/>
      </w:pPr>
      <w:r>
        <w:drawing>
          <wp:inline xmlns:a="http://schemas.openxmlformats.org/drawingml/2006/main" xmlns:pic="http://schemas.openxmlformats.org/drawingml/2006/picture">
            <wp:extent cx="5943600" cy="3820886"/>
            <wp:docPr id="14" name="Picture 14"/>
            <wp:cNvGraphicFramePr>
              <a:graphicFrameLocks noChangeAspect="1"/>
            </wp:cNvGraphicFramePr>
            <a:graphic>
              <a:graphicData uri="http://schemas.openxmlformats.org/drawingml/2006/picture">
                <pic:pic>
                  <pic:nvPicPr>
                    <pic:cNvPr id="0" name="gui_occupancy.png"/>
                    <pic:cNvPicPr/>
                  </pic:nvPicPr>
                  <pic:blipFill>
                    <a:blip r:embed="rId22"/>
                    <a:stretch>
                      <a:fillRect/>
                    </a:stretch>
                  </pic:blipFill>
                  <pic:spPr>
                    <a:xfrm>
                      <a:off x="0" y="0"/>
                      <a:ext cx="5943600" cy="3820886"/>
                    </a:xfrm>
                    <a:prstGeom prst="rect"/>
                  </pic:spPr>
                </pic:pic>
              </a:graphicData>
            </a:graphic>
          </wp:inline>
        </w:drawing>
      </w:r>
    </w:p>
    <w:p>
      <w:pPr>
        <w:spacing w:after="240"/>
        <w:jc w:val="center"/>
      </w:pPr>
      <w:r>
        <w:rPr>
          <w:i/>
          <w:sz w:val="18"/>
        </w:rPr>
        <w:t>Figura 14. Pestaña Ocupación 2D tras ejecutar el ejemplo de 0.2 m por celda. El azul indica libre observado, el naranja indica ocupado estimado y el fondo oscuro permanece sin observar. Las paredes grises sirven de referencia.</w:t>
      </w:r>
    </w:p>
    <w:p>
      <w:pPr>
        <w:pStyle w:val="Heading1"/>
      </w:pPr>
      <w:r>
        <w:t>7 Solución de problemas</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Síntoma</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Comprobación y acción</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No inicia el EXE</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Conserve juntos todos los archivos del ZIP y pruebe --self-test en una consola.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No se exporta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Revise los permisos de la carpeta elegida y el mensaje de error de la GUI.</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La nube 3D está vacía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Compruebe que lidar3d.enabled esté activo y que los haces tengan retornos válidos.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No aparece Ocupación 2D</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Active occupancy_grid.enabled y ejecute una nueva corrida.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El mapa ASRF no es concluyente</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Revise umbral, cantidad de semillas, cobertura de ambas clases y CSV de validación.</w:t>
            </w:r>
          </w:p>
        </w:tc>
      </w:tr>
    </w:tbl>
    <w:p/>
    <w:p>
      <w:r>
        <w:rPr>
          <w:rFonts w:ascii="Arial" w:hAnsi="Arial"/>
          <w:b/>
        </w:rPr>
        <w:t xml:space="preserve">Límites de interpretación. </w:t>
      </w:r>
      <w:r>
        <w:t>Los mundos son 2.5D; no hay lazo de cierre, odometría visual, física completa de colisiones ni movimiento rígido 6DoF. La cámara es esquemática y los estimadores actuales no la consumen. Un tiempo de ejecución cambia con el equipo; para comparar precisión use semillas, configuraciones y umbrales idénticos. La validación experimental disponible aún no prueba superioridad general de ASRF.</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w:hAnsi="Aptos"/>
      <w:b w:val="0"/>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SLAMCart3D</dc:title>
  <dc:subject>Guía para configurar, ejecutar y examinar experimentos reproducibles de localización y mapeo.</dc:subject>
  <dc:creator>Francisco Javier Burgos Flórez; Juan Pablo Hoyos Sánchez; Juan Guillermo Popayán Hernández</dc:creator>
  <cp:keywords>SLAMCart3D, robótica, simulación, ASRF</cp:keywords>
  <dc:description>generated by python-docx</dc:description>
  <cp:lastModifiedBy>Francisco Javier Burgos Flórez; Juan Pablo Hoyos Sánchez; Juan Guillermo Popayán Hernández</cp:lastModifiedBy>
  <cp:revision>1</cp:revision>
  <dcterms:created xsi:type="dcterms:W3CDTF">2026-09-29T17:26:47Z</dcterms:created>
  <dcterms:modified xsi:type="dcterms:W3CDTF">2026-09-29T17:26:47Z</dcterms:modified>
  <cp:category/>
</cp:coreProperties>
</file>