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B7B489" w14:textId="77777777" w:rsidR="004A763A" w:rsidRDefault="00A559DA">
      <w:pPr>
        <w:pStyle w:val="Ttulo"/>
        <w:spacing w:before="400" w:after="100"/>
      </w:pPr>
      <w:r>
        <w:rPr>
          <w:b/>
          <w:bCs/>
          <w:color w:val="1F3864"/>
          <w:sz w:val="56"/>
          <w:szCs w:val="56"/>
        </w:rPr>
        <w:t>SLAMCart3D</w:t>
      </w:r>
    </w:p>
    <w:p w14:paraId="4595F051" w14:textId="77777777" w:rsidR="004A763A" w:rsidRDefault="00ED1521">
      <w:pPr>
        <w:spacing w:after="300"/>
      </w:pPr>
      <w:r>
        <w:rPr>
          <w:b/>
          <w:bCs/>
          <w:color w:val="0F6E6E"/>
          <w:sz w:val="34"/>
          <w:szCs w:val="34"/>
        </w:rPr>
        <w:t>Descripción del software</w:t>
      </w:r>
    </w:p>
    <w:p>
      <w:pPr>
        <w:keepNext w:val="0"/>
        <w:widowControl/>
        <w:spacing w:after="400" w:before="240"/>
      </w:pPr>
      <w:r>
        <w:rPr>
          <w:i/>
          <w:color w:val="444444"/>
        </w:rPr>
        <w:t>Simulación y evaluación reproducible de localización y mapeo de un robot móvil terrestre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4A763A" w14:paraId="19083F97"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pPr>
              <w:jc w:val="left"/>
            </w:pPr>
            <w:r>
              <w:rPr>
                <w:b/>
                <w:sz w:val="22"/>
              </w:rPr>
              <w:t>Autores</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pPr>
              <w:jc w:val="left"/>
            </w:pPr>
            <w:r>
              <w:rPr>
                <w:sz w:val="22"/>
              </w:rPr>
              <w:t>Francisco Javier Burgos Flórez; Juan Guillermo Popayán Hernández</w:t>
            </w:r>
          </w:p>
        </w:tc>
      </w:tr>
      <w:tr w:rsidR="004A763A" w14:paraId="19083F97"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pPr>
              <w:jc w:val="left"/>
            </w:pPr>
            <w:r>
              <w:rPr>
                <w:b/>
                <w:sz w:val="22"/>
              </w:rPr>
              <w:t>Versión</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pPr>
              <w:jc w:val="left"/>
            </w:pPr>
            <w:r>
              <w:rPr>
                <w:sz w:val="22"/>
              </w:rPr>
              <w:t>1.0.0</w:t>
            </w:r>
          </w:p>
        </w:tc>
      </w:tr>
      <w:tr w:rsidR="004A763A" w14:paraId="19083F97"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pPr>
              <w:jc w:val="left"/>
            </w:pPr>
            <w:r>
              <w:rPr>
                <w:b/>
                <w:sz w:val="22"/>
              </w:rPr>
              <w:t>Fecha</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pPr>
              <w:jc w:val="left"/>
            </w:pPr>
            <w:r>
              <w:rPr>
                <w:sz w:val="22"/>
              </w:rPr>
              <w:t>6 de octubre de 2026</w:t>
            </w:r>
          </w:p>
        </w:tc>
      </w:tr>
      <w:tr w:rsidR="004A763A" w14:paraId="19083F97"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pPr>
              <w:jc w:val="left"/>
            </w:pPr>
            <w:r>
              <w:rPr>
                <w:b/>
                <w:sz w:val="22"/>
              </w:rPr>
              <w:t>Contacto</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pPr>
              <w:jc w:val="left"/>
            </w:pPr>
            <w:r>
              <w:rPr>
                <w:sz w:val="22"/>
              </w:rPr>
              <w:t>fjburgosf@gmail.com</w:t>
            </w:r>
          </w:p>
        </w:tc>
      </w:tr>
      <w:tr w:rsidR="004A763A" w14:paraId="19083F97"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pPr>
              <w:jc w:val="left"/>
            </w:pPr>
            <w:r>
              <w:rPr>
                <w:b/>
                <w:sz w:val="22"/>
              </w:rPr>
              <w:t>Repositorio designado</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pPr>
              <w:jc w:val="left"/>
            </w:pPr>
            <w:r>
              <w:rPr>
                <w:sz w:val="22"/>
              </w:rPr>
              <w:t>https://github.com/fjburgosf/SLAMCart3D</w:t>
            </w:r>
          </w:p>
        </w:tc>
      </w:tr>
    </w:tbl>
    <w:p>
      <w:pPr>
        <w:keepNext w:val="0"/>
        <w:widowControl/>
        <w:spacing w:after="120" w:before="240"/>
      </w:pPr>
      <w:r>
        <w:t>SLAMCart3D 1.0.0 simula un carrito sobre suelo plano. El híbrido XYZ estima seis componentes de pose con medidas multicapa y una prioridad suave de suelo nivelado. Los otros cinco métodos localizan en el plano. La reconstrucción volumétrica utiliza retornos medidos; no copia las paredes del simulador ni completa zonas desconocidas.</w:t>
      </w:r>
    </w:p>
    <w:p>
      <w:pPr>
        <w:keepNext/>
        <w:pageBreakBefore/>
        <w:widowControl/>
        <w:spacing w:after="240"/>
      </w:pPr>
      <w:r>
        <w:rPr>
          <w:b/>
          <w:sz w:val="32"/>
        </w:rPr>
        <w:t>Tabla de contenido</w:t>
      </w:r>
    </w:p>
    <w:p>
      <w:pPr>
        <w:pStyle w:val="TDC1"/>
        <w:keepNext w:val="0"/>
        <w:tabs>
          <w:tab w:pos="9640" w:val="right" w:leader="dot"/>
        </w:tabs>
        <w:spacing w:after="60"/>
      </w:pPr>
      <w:r>
        <w:fldChar w:fldCharType="begin"/>
      </w:r>
      <w:r>
        <w:instrText> TOC \o "1-2" \h \z \u </w:instrText>
      </w:r>
      <w:r>
        <w:fldChar w:fldCharType="separate"/>
      </w:r>
      <w:hyperlink w:anchor="slam_heading_1">
        <w:r>
          <w:t>1 Información del producto</w:t>
        </w:r>
      </w:hyperlink>
      <w:r>
        <w:tab/>
      </w:r>
      <w:fldSimple w:instr=" PAGEREF slam_heading_1 \h ">
        <w:r>
          <w:t>2</w:t>
        </w:r>
      </w:fldSimple>
    </w:p>
    <w:p>
      <w:pPr>
        <w:pStyle w:val="TDC1"/>
        <w:keepNext w:val="0"/>
        <w:tabs>
          <w:tab w:pos="9640" w:val="right" w:leader="dot"/>
        </w:tabs>
        <w:spacing w:after="60"/>
      </w:pPr>
      <w:hyperlink w:anchor="slam_heading_2">
        <w:r>
          <w:t>2 Descripción general</w:t>
        </w:r>
      </w:hyperlink>
      <w:r>
        <w:tab/>
      </w:r>
      <w:fldSimple w:instr=" PAGEREF slam_heading_2 \h ">
        <w:r>
          <w:t>3</w:t>
        </w:r>
      </w:fldSimple>
    </w:p>
    <w:p>
      <w:pPr>
        <w:pStyle w:val="TDC2"/>
        <w:keepNext w:val="0"/>
        <w:tabs>
          <w:tab w:pos="9640" w:val="right" w:leader="dot"/>
        </w:tabs>
        <w:spacing w:after="60"/>
      </w:pPr>
      <w:hyperlink w:anchor="slam_heading_3">
        <w:r>
          <w:t>2.1 Requisitos de hardware y software</w:t>
        </w:r>
      </w:hyperlink>
      <w:r>
        <w:tab/>
      </w:r>
      <w:fldSimple w:instr=" PAGEREF slam_heading_3 \h ">
        <w:r>
          <w:t>3</w:t>
        </w:r>
      </w:fldSimple>
    </w:p>
    <w:p>
      <w:pPr>
        <w:pStyle w:val="TDC2"/>
        <w:keepNext w:val="0"/>
        <w:tabs>
          <w:tab w:pos="9640" w:val="right" w:leader="dot"/>
        </w:tabs>
        <w:spacing w:after="60"/>
      </w:pPr>
      <w:hyperlink w:anchor="slam_heading_4">
        <w:r>
          <w:t>2.2 Justificación de los requisitos</w:t>
        </w:r>
      </w:hyperlink>
      <w:r>
        <w:tab/>
      </w:r>
      <w:fldSimple w:instr=" PAGEREF slam_heading_4 \h ">
        <w:r>
          <w:t>3</w:t>
        </w:r>
      </w:fldSimple>
    </w:p>
    <w:p>
      <w:pPr>
        <w:pStyle w:val="TDC1"/>
        <w:keepNext w:val="0"/>
        <w:tabs>
          <w:tab w:pos="9640" w:val="right" w:leader="dot"/>
        </w:tabs>
        <w:spacing w:after="60"/>
      </w:pPr>
      <w:hyperlink w:anchor="slam_heading_5">
        <w:r>
          <w:t>3 Objetivos y área de aplicación</w:t>
        </w:r>
      </w:hyperlink>
      <w:r>
        <w:tab/>
      </w:r>
      <w:fldSimple w:instr=" PAGEREF slam_heading_5 \h ">
        <w:r>
          <w:t>4</w:t>
        </w:r>
      </w:fldSimple>
    </w:p>
    <w:p>
      <w:pPr>
        <w:pStyle w:val="TDC1"/>
        <w:keepNext w:val="0"/>
        <w:tabs>
          <w:tab w:pos="9640" w:val="right" w:leader="dot"/>
        </w:tabs>
        <w:spacing w:after="60"/>
      </w:pPr>
      <w:hyperlink w:anchor="slam_heading_6">
        <w:r>
          <w:t>4 Funcionalidades principales</w:t>
        </w:r>
      </w:hyperlink>
      <w:r>
        <w:tab/>
      </w:r>
      <w:fldSimple w:instr=" PAGEREF slam_heading_6 \h ">
        <w:r>
          <w:t>4</w:t>
        </w:r>
      </w:fldSimple>
    </w:p>
    <w:p>
      <w:pPr>
        <w:pStyle w:val="TDC1"/>
        <w:keepNext w:val="0"/>
        <w:tabs>
          <w:tab w:pos="9640" w:val="right" w:leader="dot"/>
        </w:tabs>
        <w:spacing w:after="60"/>
      </w:pPr>
      <w:hyperlink w:anchor="slam_heading_7">
        <w:r>
          <w:t>5 Adaptabilidad extensibilidad y mantenibilidad</w:t>
        </w:r>
      </w:hyperlink>
      <w:r>
        <w:tab/>
      </w:r>
      <w:fldSimple w:instr=" PAGEREF slam_heading_7 \h ">
        <w:r>
          <w:t>4</w:t>
        </w:r>
      </w:fldSimple>
    </w:p>
    <w:p>
      <w:pPr>
        <w:pStyle w:val="TDC1"/>
        <w:keepNext w:val="0"/>
        <w:tabs>
          <w:tab w:pos="9640" w:val="right" w:leader="dot"/>
        </w:tabs>
        <w:spacing w:after="60"/>
      </w:pPr>
      <w:hyperlink w:anchor="slam_heading_8">
        <w:r>
          <w:t>6 Robustez desempeño y consistencia</w:t>
        </w:r>
      </w:hyperlink>
      <w:r>
        <w:tab/>
      </w:r>
      <w:fldSimple w:instr=" PAGEREF slam_heading_8 \h ">
        <w:r>
          <w:t>5</w:t>
        </w:r>
      </w:fldSimple>
    </w:p>
    <w:p>
      <w:pPr>
        <w:pStyle w:val="TDC2"/>
        <w:keepNext w:val="0"/>
        <w:tabs>
          <w:tab w:pos="9640" w:val="right" w:leader="dot"/>
        </w:tabs>
        <w:spacing w:after="60"/>
      </w:pPr>
      <w:hyperlink w:anchor="slam_heading_9">
        <w:r>
          <w:t>6.1 Desempeño observado</w:t>
        </w:r>
      </w:hyperlink>
      <w:r>
        <w:tab/>
      </w:r>
      <w:fldSimple w:instr=" PAGEREF slam_heading_9 \h ">
        <w:r>
          <w:t>5</w:t>
        </w:r>
      </w:fldSimple>
    </w:p>
    <w:p>
      <w:pPr>
        <w:pStyle w:val="TDC1"/>
        <w:keepNext w:val="0"/>
        <w:tabs>
          <w:tab w:pos="9640" w:val="right" w:leader="dot"/>
        </w:tabs>
        <w:spacing w:after="60"/>
      </w:pPr>
      <w:hyperlink w:anchor="slam_heading_10">
        <w:r>
          <w:t>7 Interfaz y usabilidad</w:t>
        </w:r>
      </w:hyperlink>
      <w:r>
        <w:tab/>
      </w:r>
      <w:fldSimple w:instr=" PAGEREF slam_heading_10 \h ">
        <w:r>
          <w:t>6</w:t>
        </w:r>
      </w:fldSimple>
    </w:p>
    <w:p>
      <w:pPr>
        <w:pStyle w:val="TDC1"/>
        <w:keepNext w:val="0"/>
        <w:tabs>
          <w:tab w:pos="9640" w:val="right" w:leader="dot"/>
        </w:tabs>
        <w:spacing w:after="60"/>
      </w:pPr>
      <w:hyperlink w:anchor="slam_heading_11">
        <w:r>
          <w:t>8 Integridad y seguridad de la información</w:t>
        </w:r>
      </w:hyperlink>
      <w:r>
        <w:tab/>
      </w:r>
      <w:fldSimple w:instr=" PAGEREF slam_heading_11 \h ">
        <w:r>
          <w:t>6</w:t>
        </w:r>
      </w:fldSimple>
    </w:p>
    <w:p>
      <w:pPr>
        <w:pStyle w:val="TDC1"/>
        <w:keepNext w:val="0"/>
        <w:tabs>
          <w:tab w:pos="9640" w:val="right" w:leader="dot"/>
        </w:tabs>
        <w:spacing w:after="60"/>
      </w:pPr>
      <w:hyperlink w:anchor="slam_heading_12">
        <w:r>
          <w:t>9 Portabilidad y compatibilidad</w:t>
        </w:r>
      </w:hyperlink>
      <w:r>
        <w:tab/>
      </w:r>
      <w:fldSimple w:instr=" PAGEREF slam_heading_12 \h ">
        <w:r>
          <w:t>6</w:t>
        </w:r>
      </w:fldSimple>
    </w:p>
    <w:p>
      <w:pPr>
        <w:pStyle w:val="TDC1"/>
        <w:keepNext w:val="0"/>
        <w:tabs>
          <w:tab w:pos="9640" w:val="right" w:leader="dot"/>
        </w:tabs>
        <w:spacing w:after="60"/>
      </w:pPr>
      <w:hyperlink w:anchor="slam_heading_13">
        <w:r>
          <w:t>10 Documentación y soporte técnico</w:t>
        </w:r>
      </w:hyperlink>
      <w:r>
        <w:tab/>
      </w:r>
      <w:fldSimple w:instr=" PAGEREF slam_heading_13 \h ">
        <w:r>
          <w:t>7</w:t>
        </w:r>
      </w:fldSimple>
    </w:p>
    <w:p>
      <w:pPr>
        <w:pStyle w:val="TDC1"/>
        <w:keepNext w:val="0"/>
        <w:tabs>
          <w:tab w:pos="9640" w:val="right" w:leader="dot"/>
        </w:tabs>
        <w:spacing w:after="60"/>
      </w:pPr>
      <w:hyperlink w:anchor="slam_heading_14">
        <w:r>
          <w:t>11 Pruebas validación y desempeño</w:t>
        </w:r>
      </w:hyperlink>
      <w:r>
        <w:tab/>
      </w:r>
      <w:fldSimple w:instr=" PAGEREF slam_heading_14 \h ">
        <w:r>
          <w:t>7</w:t>
        </w:r>
      </w:fldSimple>
    </w:p>
    <w:p>
      <w:pPr>
        <w:pStyle w:val="TDC2"/>
        <w:keepNext w:val="0"/>
        <w:tabs>
          <w:tab w:pos="9640" w:val="right" w:leader="dot"/>
        </w:tabs>
        <w:spacing w:after="60"/>
      </w:pPr>
      <w:hyperlink w:anchor="slam_heading_15">
        <w:r>
          <w:t>11.1 Evidencia ampliada</w:t>
        </w:r>
      </w:hyperlink>
      <w:r>
        <w:tab/>
      </w:r>
      <w:fldSimple w:instr=" PAGEREF slam_heading_15 \h ">
        <w:r>
          <w:t>8</w:t>
        </w:r>
      </w:fldSimple>
    </w:p>
    <w:p>
      <w:pPr>
        <w:pStyle w:val="TDC1"/>
        <w:keepNext w:val="0"/>
        <w:tabs>
          <w:tab w:pos="9640" w:val="right" w:leader="dot"/>
        </w:tabs>
        <w:spacing w:after="60"/>
      </w:pPr>
      <w:hyperlink w:anchor="slam_heading_16">
        <w:r>
          <w:t>12 Impacto y utilización</w:t>
        </w:r>
      </w:hyperlink>
      <w:r>
        <w:tab/>
      </w:r>
      <w:fldSimple w:instr=" PAGEREF slam_heading_16 \h ">
        <w:r>
          <w:t>8</w:t>
        </w:r>
      </w:fldSimple>
    </w:p>
    <w:p>
      <w:pPr>
        <w:pStyle w:val="TDC1"/>
        <w:keepNext w:val="0"/>
        <w:tabs>
          <w:tab w:pos="9640" w:val="right" w:leader="dot"/>
        </w:tabs>
        <w:spacing w:after="60"/>
      </w:pPr>
      <w:hyperlink w:anchor="slam_heading_17">
        <w:r>
          <w:t>13 Contribución al estado del arte</w:t>
        </w:r>
      </w:hyperlink>
      <w:r>
        <w:tab/>
      </w:r>
      <w:fldSimple w:instr=" PAGEREF slam_heading_17 \h ">
        <w:r>
          <w:t>9</w:t>
        </w:r>
      </w:fldSimple>
    </w:p>
    <w:p>
      <w:pPr>
        <w:pStyle w:val="TDC2"/>
        <w:keepNext w:val="0"/>
        <w:tabs>
          <w:tab w:pos="9640" w:val="right" w:leader="dot"/>
        </w:tabs>
        <w:spacing w:after="60"/>
      </w:pPr>
      <w:hyperlink w:anchor="slam_heading_18">
        <w:r>
          <w:t>13.1 Problema y propuesta</w:t>
        </w:r>
      </w:hyperlink>
      <w:r>
        <w:tab/>
      </w:r>
      <w:fldSimple w:instr=" PAGEREF slam_heading_18 \h ">
        <w:r>
          <w:t>9</w:t>
        </w:r>
      </w:fldSimple>
    </w:p>
    <w:p>
      <w:pPr>
        <w:pStyle w:val="TDC2"/>
        <w:keepNext w:val="0"/>
        <w:tabs>
          <w:tab w:pos="9640" w:val="right" w:leader="dot"/>
        </w:tabs>
        <w:spacing w:after="60"/>
      </w:pPr>
      <w:hyperlink w:anchor="slam_heading_19">
        <w:r>
          <w:t>13.2 Herramientas relacionadas</w:t>
        </w:r>
      </w:hyperlink>
      <w:r>
        <w:tab/>
      </w:r>
      <w:fldSimple w:instr=" PAGEREF slam_heading_19 \h ">
        <w:r>
          <w:t>9</w:t>
        </w:r>
      </w:fldSimple>
    </w:p>
    <w:p>
      <w:pPr>
        <w:pStyle w:val="TDC2"/>
        <w:keepNext w:val="0"/>
        <w:tabs>
          <w:tab w:pos="9640" w:val="right" w:leader="dot"/>
        </w:tabs>
        <w:spacing w:after="60"/>
      </w:pPr>
      <w:hyperlink w:anchor="slam_heading_20">
        <w:r>
          <w:t>13.3 Alcance de la contribución</w:t>
        </w:r>
      </w:hyperlink>
      <w:r>
        <w:tab/>
      </w:r>
      <w:fldSimple w:instr=" PAGEREF slam_heading_20 \h ">
        <w:r>
          <w:t>9</w:t>
        </w:r>
      </w:fldSimple>
    </w:p>
    <w:p>
      <w:pPr>
        <w:pStyle w:val="TDC1"/>
        <w:keepNext w:val="0"/>
        <w:tabs>
          <w:tab w:pos="9640" w:val="right" w:leader="dot"/>
        </w:tabs>
        <w:spacing w:after="60"/>
      </w:pPr>
      <w:hyperlink w:anchor="slam_heading_21">
        <w:r>
          <w:t>14 Autoría</w:t>
        </w:r>
      </w:hyperlink>
      <w:r>
        <w:tab/>
      </w:r>
      <w:fldSimple w:instr=" PAGEREF slam_heading_21 \h ">
        <w:r>
          <w:t>10</w:t>
        </w:r>
      </w:fldSimple>
    </w:p>
    <w:p>
      <w:pPr>
        <w:pStyle w:val="TDC1"/>
        <w:keepNext w:val="0"/>
        <w:tabs>
          <w:tab w:pos="9640" w:val="right" w:leader="dot"/>
        </w:tabs>
        <w:spacing w:after="60"/>
      </w:pPr>
      <w:hyperlink w:anchor="slam_heading_22">
        <w:r>
          <w:t>Referencias</w:t>
        </w:r>
      </w:hyperlink>
      <w:r>
        <w:tab/>
      </w:r>
      <w:fldSimple w:instr=" PAGEREF slam_heading_22 \h ">
        <w:r>
          <w:t>10</w:t>
        </w:r>
      </w:fldSimple>
      <w:r>
        <w:fldChar w:fldCharType="end"/>
      </w:r>
    </w:p>
    <w:p>
      <w:pPr>
        <w:pStyle w:val="Ttulo1"/>
        <w:keepNext/>
        <w:widowControl/>
      </w:pPr>
      <w:bookmarkStart w:id="100" w:name="slam_heading_1"/>
      <w:r>
        <w:t>1 Información del producto</w:t>
      </w:r>
      <w:bookmarkEnd w:id="100"/>
    </w:p>
    <w:p>
      <w:pPr>
        <w:keepNext w:val="0"/>
        <w:widowControl/>
        <w:spacing w:after="120"/>
      </w:pPr>
      <w:r>
        <w:t>SLAMCart3D es una aplicación científica local para Windows y un paquete Python que simula observaciones de un robot terrestre, ejecuta baselines y un híbrido adaptativo y mide su degradación frente a condiciones experimentales controladas. Su pregunta de investigación es cómo localizar de manera eficiente la frontera entre operación aceptable y fallo. El proyecto propone un estimador híbrido local y Adaptive SLAM Robustness Frontier (ASRF), un método de selección de condiciones experimentales. Sus contribuciones se evalúan por separado.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048"/>
        <w:gridCol w:w="6592"/>
      </w:tblGrid>
      <w:tr>
        <w:trPr>
          <w:tblHeade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Atributo</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Descripción</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Nombre</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SLAMCart3D</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Versión evaluada</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1.0.0</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Ejecución</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GUI Windows, línea de comandos y API Python</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Autores</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Francisco Javier Burgos Flórez; Juan Guillermo Popayán Hernández</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Repositorio designado</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https://github.com/fjburgosf/SLAMCart3D</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Entradas</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YAML o JSON de configuración y semilla pseudoaleatoria</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Salidas</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CSV, JSON, YAML, superficie PLY opcional y figuras PNG, SVG o PDF cuando se solicitan</w:t>
            </w:r>
          </w:p>
        </w:tc>
      </w:tr>
    </w:tbl>
    <w:p>
      <w:pPr>
        <w:keepNext w:val="0"/>
        <w:widowControl/>
        <w:spacing w:after="120"/>
      </w:pPr>
    </w:p>
    <w:p>
      <w:pPr>
        <w:pStyle w:val="Ttulo1"/>
        <w:keepNext/>
        <w:widowControl/>
      </w:pPr>
      <w:bookmarkStart w:id="101" w:name="slam_heading_2"/>
      <w:r>
        <w:t>2 Descripción general</w:t>
      </w:r>
      <w:bookmarkEnd w:id="101"/>
    </w:p>
    <w:p>
      <w:pPr>
        <w:keepNext w:val="0"/>
        <w:widowControl/>
        <w:spacing w:after="120"/>
      </w:pPr>
      <w:r>
        <w:t>Una corrida de SLAM aislada no muestra a qué nivel de degradación falla un estimador ni permite separar la variación por semilla del efecto de las condiciones. SLAMCart3D ofrece ground truth conocido, degradaciones parametrizadas y comparación automatizada para observar esas transiciones. Su objetivo es producir evidencia reproducible de errores de trayectoria, calidad del mapa y regiones de fallo, sin asumir que ASRF será mejor que diseños convencionales.</w:t>
      </w:r>
    </w:p>
    <w:p>
      <w:pPr>
        <w:keepNext w:val="0"/>
        <w:widowControl/>
        <w:spacing w:after="120"/>
      </w:pPr>
      <w:r>
        <w:t>El desempeño observado se formaliza con una métrica J y un umbral crítico elegido antes del análisis. ASRF busca condiciones donde el margen respecto del umbral cambia de signo, en vez de evaluar uniformemente todas las combinaciones posibles. El usuario puede contrastar el método con cuadrícula regular, muestreo aleatorio e hipercubo latino bajo el mismo presupuesto. La salida incluye las condiciones realmente evaluadas y las semillas, para distinguir lo medido de lo interpolado.</w:t>
      </w:r>
    </w:p>
    <w:p>
      <w:pPr>
        <w:pStyle w:val="Ttulo2"/>
        <w:keepNext/>
        <w:widowControl/>
      </w:pPr>
      <w:bookmarkStart w:id="102" w:name="slam_heading_3"/>
      <w:r>
        <w:t>2.1 Requisitos de hardware y software</w:t>
      </w:r>
      <w:bookmarkEnd w:id="102"/>
    </w:p>
    <w:p>
      <w:pPr>
        <w:keepNext/>
        <w:widowControl/>
        <w:spacing w:after="120"/>
        <w:jc w:val="center"/>
      </w:pPr>
      <w:r>
        <w:rPr>
          <w:b/>
        </w:rPr>
        <w:t xml:space="preserve">Tabla 1. </w:t>
      </w:r>
      <w:r>
        <w:t>Requisitos de operación</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92"/>
        <w:gridCol w:w="6748"/>
      </w:tblGrid>
      <w:tr>
        <w:trPr>
          <w:tblHeader/>
          <w:cantSplit/>
        </w:trPr>
        <w:tc>
          <w:tcPr>
            <w:tcW w:type="dxa" w:w="2892"/>
            <w:vAlign w:val="center"/>
            <w:shd w:fill="1F3864"/>
          </w:tcPr>
          <w:p>
            <w:pPr>
              <w:keepNext w:val="0"/>
              <w:spacing w:before="40" w:after="40" w:line="240" w:lineRule="auto"/>
              <w:jc w:val="left"/>
            </w:pPr>
            <w:r>
              <w:rPr>
                <w:rFonts w:ascii="Calibri" w:hAnsi="Calibri"/>
                <w:b/>
                <w:color w:val="FFFFFF"/>
                <w:sz w:val="21"/>
              </w:rPr>
              <w:t>Componente</w:t>
            </w:r>
          </w:p>
        </w:tc>
        <w:tc>
          <w:tcPr>
            <w:tcW w:type="dxa" w:w="6748"/>
            <w:vAlign w:val="center"/>
            <w:shd w:fill="1F3864"/>
          </w:tcPr>
          <w:p>
            <w:pPr>
              <w:keepNext w:val="0"/>
              <w:spacing w:before="40" w:after="40" w:line="240" w:lineRule="auto"/>
              <w:jc w:val="left"/>
            </w:pPr>
            <w:r>
              <w:rPr>
                <w:rFonts w:ascii="Calibri" w:hAnsi="Calibri"/>
                <w:b/>
                <w:color w:val="FFFFFF"/>
                <w:sz w:val="21"/>
              </w:rPr>
              <w:t>Requisito y alcance comprobado</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Plataforma</w:t>
            </w:r>
          </w:p>
        </w:tc>
        <w:tc>
          <w:tcPr>
            <w:tcW w:type="dxa" w:w="6748"/>
            <w:vAlign w:val="center"/>
          </w:tcPr>
          <w:p>
            <w:pPr>
              <w:keepNext w:val="0"/>
              <w:spacing w:before="40" w:after="40" w:line="240" w:lineRule="auto"/>
              <w:jc w:val="left"/>
            </w:pPr>
            <w:r>
              <w:rPr>
                <w:rFonts w:ascii="Calibri" w:hAnsi="Calibri"/>
                <w:b w:val="0"/>
                <w:color w:val="000000"/>
                <w:sz w:val="21"/>
              </w:rPr>
              <w:t>Ejecutable Windows de 64 bits. Validado en el equipo de desarrollo; falta ensayo en Windows limpio.</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Python</w:t>
            </w:r>
          </w:p>
        </w:tc>
        <w:tc>
          <w:tcPr>
            <w:tcW w:type="dxa" w:w="6748"/>
            <w:vAlign w:val="center"/>
          </w:tcPr>
          <w:p>
            <w:pPr>
              <w:keepNext w:val="0"/>
              <w:spacing w:before="40" w:after="40" w:line="240" w:lineRule="auto"/>
              <w:jc w:val="left"/>
            </w:pPr>
            <w:r>
              <w:rPr>
                <w:rFonts w:ascii="Calibri" w:hAnsi="Calibri"/>
                <w:b w:val="0"/>
                <w:color w:val="000000"/>
                <w:sz w:val="21"/>
              </w:rPr>
              <w:t>3.10 o posterior, solo para ejecutar o modificar el código fuente.</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Pantalla</w:t>
            </w:r>
          </w:p>
        </w:tc>
        <w:tc>
          <w:tcPr>
            <w:tcW w:type="dxa" w:w="6748"/>
            <w:vAlign w:val="center"/>
          </w:tcPr>
          <w:p>
            <w:pPr>
              <w:keepNext w:val="0"/>
              <w:spacing w:before="40" w:after="40" w:line="240" w:lineRule="auto"/>
              <w:jc w:val="left"/>
            </w:pPr>
            <w:r>
              <w:rPr>
                <w:rFonts w:ascii="Calibri" w:hAnsi="Calibri"/>
                <w:b w:val="0"/>
                <w:color w:val="000000"/>
                <w:sz w:val="21"/>
              </w:rPr>
              <w:t>Use una ventana amplia para formularios y visores. Las capturas documentadas incluyen ventanas de 1920 × 1080 y 1600 × 1050 píxeles, ajustadas al ancho del documento.</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Disco</w:t>
            </w:r>
          </w:p>
        </w:tc>
        <w:tc>
          <w:tcPr>
            <w:tcW w:type="dxa" w:w="6748"/>
            <w:vAlign w:val="center"/>
          </w:tcPr>
          <w:p>
            <w:pPr>
              <w:keepNext w:val="0"/>
              <w:spacing w:before="40" w:after="40" w:line="240" w:lineRule="auto"/>
              <w:jc w:val="left"/>
            </w:pPr>
            <w:r>
              <w:rPr>
                <w:rFonts w:ascii="Calibri" w:hAnsi="Calibri"/>
                <w:b w:val="0"/>
                <w:color w:val="000000"/>
                <w:sz w:val="21"/>
              </w:rPr>
              <w:t>Carpeta con escritura para aplicación, .runtime y resultados. El tamaño crece con pasos, sensores y número de corridas.</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Memoria y CPU</w:t>
            </w:r>
          </w:p>
        </w:tc>
        <w:tc>
          <w:tcPr>
            <w:tcW w:type="dxa" w:w="6748"/>
            <w:vAlign w:val="center"/>
          </w:tcPr>
          <w:p>
            <w:pPr>
              <w:keepNext w:val="0"/>
              <w:spacing w:before="40" w:after="40" w:line="240" w:lineRule="auto"/>
              <w:jc w:val="left"/>
            </w:pPr>
            <w:r>
              <w:rPr>
                <w:rFonts w:ascii="Calibri" w:hAnsi="Calibri"/>
                <w:b w:val="0"/>
                <w:color w:val="000000"/>
                <w:sz w:val="21"/>
              </w:rPr>
              <w:t>El consumo depende de haces, mapas y lotes. Empiece con ejemplos cortos; no se ha certificado un mínimo universal.</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Red</w:t>
            </w:r>
          </w:p>
        </w:tc>
        <w:tc>
          <w:tcPr>
            <w:tcW w:type="dxa" w:w="6748"/>
            <w:vAlign w:val="center"/>
          </w:tcPr>
          <w:p>
            <w:pPr>
              <w:keepNext w:val="0"/>
              <w:spacing w:before="40" w:after="40" w:line="240" w:lineRule="auto"/>
              <w:jc w:val="left"/>
            </w:pPr>
            <w:r>
              <w:rPr>
                <w:rFonts w:ascii="Calibri" w:hAnsi="Calibri"/>
                <w:b w:val="0"/>
                <w:color w:val="000000"/>
                <w:sz w:val="21"/>
              </w:rPr>
              <w:t>La simulación y reproducción son locales; la instalación de dependencias o descarga de datos puede requerir conexión.</w:t>
            </w:r>
          </w:p>
        </w:tc>
      </w:tr>
    </w:tbl>
    <w:p>
      <w:pPr>
        <w:keepNext w:val="0"/>
        <w:widowControl/>
        <w:spacing w:after="40"/>
      </w:pPr>
    </w:p>
    <w:p>
      <w:pPr>
        <w:pStyle w:val="Ttulo2"/>
        <w:keepNext/>
        <w:widowControl/>
      </w:pPr>
      <w:bookmarkStart w:id="103" w:name="slam_heading_4"/>
      <w:r>
        <w:t>2.2 Justificación de los requisitos</w:t>
      </w:r>
      <w:bookmarkEnd w:id="103"/>
    </w:p>
    <w:p>
      <w:pPr>
        <w:keepNext w:val="0"/>
        <w:widowControl/>
        <w:spacing w:after="120"/>
      </w:pPr>
      <w:r>
        <w:t>El núcleo Python y NumPy permiten inspeccionar los modelos y repetir lotes sin interfaz. Qt organiza los controles y presenta el progreso. La memoria aumenta al acumular escaneos y nube 3D; la cantidad de pasos, haces y corridas determina el costo. No se ha establecido un mínimo de hardware validado en diferentes equipos.</w:t>
      </w:r>
    </w:p>
    <w:p>
      <w:pPr>
        <w:pStyle w:val="Ttulo1"/>
        <w:keepNext/>
        <w:widowControl/>
      </w:pPr>
      <w:bookmarkStart w:id="104" w:name="slam_heading_5"/>
      <w:r>
        <w:t>3 Objetivos y área de aplicación</w:t>
      </w:r>
      <w:bookmarkEnd w:id="104"/>
    </w:p>
    <w:p>
      <w:pPr>
        <w:keepNext w:val="0"/>
        <w:widowControl/>
        <w:spacing w:after="120"/>
      </w:pPr>
      <w:r>
        <w:t>Investigación en robustez de localización y mapeo de robots móviles terrestres.</w:t>
      </w:r>
    </w:p>
    <w:p>
      <w:pPr>
        <w:keepNext w:val="0"/>
        <w:widowControl/>
        <w:spacing w:after="120"/>
      </w:pPr>
      <w:r>
        <w:t>Docencia de cinemática, modelos de sensor, incertidumbre y evaluación cuantitativa.</w:t>
      </w:r>
    </w:p>
    <w:p>
      <w:pPr>
        <w:keepNext w:val="0"/>
        <w:widowControl/>
        <w:spacing w:after="120"/>
      </w:pPr>
      <w:r>
        <w:t>Diseño de experimentos y análisis comparativo de estrategias de muestreo.</w:t>
      </w:r>
    </w:p>
    <w:p>
      <w:pPr>
        <w:keepNext w:val="0"/>
        <w:widowControl/>
        <w:spacing w:after="120"/>
      </w:pPr>
      <w:r>
        <w:t>Generación de datos sintéticos trazables para prototipos algorítmicos.</w:t>
      </w:r>
    </w:p>
    <w:p>
      <w:pPr>
        <w:keepNext w:val="0"/>
        <w:widowControl/>
        <w:spacing w:after="120"/>
      </w:pPr>
      <w:r>
        <w:t>Estos usos son capacidades potenciales; aún no se dispone de evidencia documentada de adopción por terceros o impacto medido fuera del desarrollo del proyecto.</w:t>
      </w:r>
    </w:p>
    <w:p>
      <w:pPr>
        <w:pStyle w:val="Ttulo1"/>
        <w:keepNext/>
        <w:widowControl/>
      </w:pPr>
      <w:bookmarkStart w:id="105" w:name="slam_heading_6"/>
      <w:r>
        <w:t>4 Funcionalidades principales</w:t>
      </w:r>
      <w:bookmarkEnd w:id="105"/>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048"/>
        <w:gridCol w:w="6592"/>
      </w:tblGrid>
      <w:tr>
        <w:trPr>
          <w:tblHeade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Función</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Resultado operativo</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Simulación de mundo y robot</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Siete escenarios 2.5D y un entorno editable; robot diferencial y parada ante muros estáticos.</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Sensores sintéticos</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LiDAR planar y multicapa, IMU de seis canales planarios y cámara RGB-D esquemática.</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Degradación</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Ruido, sesgo, deriva, pérdida temporal y espacial, oclusiones y alcance efectivo.</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Estimación</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Ruedas, ruedas/IMU, ICP, híbrido planar local, grafo planar e híbrido XYZ.</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Exploración</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Destinos sobre ocupación medida, con realimentación de pose estimada.</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Registros externos</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CSV medidos y CARMEN FLASER; errores solo con referencia independiente.</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Evaluación</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ATE, RPE, deriva, disponibilidad, mapas de puntos y ocupación opcional.</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Experimentos</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Lotes por semilla, barridos controlados, comparaciones SLAM, ASRF y ablaciones.</w:t>
            </w:r>
          </w:p>
        </w:tc>
      </w:tr>
      <w:tr>
        <w:trPr>
          <w:cantSplit/>
        </w:trPr>
        <w:tc>
          <w:tcPr>
            <w:tcW w:type="dxa" w:w="30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Salidas</w:t>
            </w:r>
          </w:p>
        </w:tc>
        <w:tc>
          <w:tcPr>
            <w:tcW w:type="dxa" w:w="65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Datasets, metadatos, pose 3D, vóxeles, malla PLY, tablas y figuras 2D y 3D.</w:t>
            </w:r>
          </w:p>
        </w:tc>
      </w:tr>
    </w:tbl>
    <w:p>
      <w:pPr>
        <w:keepNext w:val="0"/>
        <w:widowControl/>
        <w:spacing w:after="120"/>
      </w:pPr>
    </w:p>
    <w:p>
      <w:pPr>
        <w:pStyle w:val="Ttulo1"/>
        <w:keepNext/>
        <w:widowControl/>
      </w:pPr>
      <w:bookmarkStart w:id="106" w:name="slam_heading_7"/>
      <w:r>
        <w:t>5 Adaptabilidad extensibilidad y mantenibilidad</w:t>
      </w:r>
      <w:bookmarkEnd w:id="106"/>
    </w:p>
    <w:p>
      <w:pPr>
        <w:keepNext w:val="0"/>
        <w:widowControl/>
        <w:spacing w:after="120"/>
      </w:pPr>
      <w:r>
        <w:t>El núcleo headless separa configuración, mundos, cinemática, sensores, degradación, estimadores, métricas y exportación. Una interfaz común permite integrar un nuevo algoritmo sin reemplazar el flujo experimental. La GUI Qt es una capa adicional: las simulaciones en lote y ASRF siguen disponibles sin pantalla. Los componentes de visualización reciben los pasos de la corrida o su resultado final; pedir una figura no cambia el reloj simulado ni las medidas.</w:t>
      </w:r>
    </w:p>
    <w:p>
      <w:pPr>
        <w:keepNext w:val="0"/>
        <w:widowControl/>
        <w:spacing w:after="120"/>
      </w:pPr>
      <w:r>
        <w:t>Los estimadores comparten initialize, reset, get_pose, get_map y get_diagnostics. Los cinco métodos planares reciben medidas mediante update; el híbrido XYZ utiliza update_3d para incorporar el LiDAR multicapa sincronizado. Un método nuevo debe integrarse también en la fábrica y la configuración. Los mundos deterministas alimentan sensores y evaluación, pero no entregan su geometría al estimador. La arquitectura permite ejecutar lotes sin un backend gráfico.</w:t>
      </w:r>
    </w:p>
    <w:p>
      <w:pPr>
        <w:keepNext w:val="0"/>
        <w:widowControl/>
        <w:spacing w:after="120"/>
      </w:pPr>
      <w:r>
        <w:t>Para añadir un estimador, implemente la interfaz común y pruebas que confirmen que recibe solo medidas. Registre su nombre en la configuración y evalúelo con entradas compartidas. Para añadir un sensor, mantenga separadas las observaciones ideales y degradadas y documente sus unidades y marco. Estas extensiones requieren desarrollo y verificación; no son plugins de instalación automática.</w:t>
      </w:r>
    </w:p>
    <w:p>
      <w:pPr>
        <w:pStyle w:val="Ttulo1"/>
        <w:keepNext/>
        <w:widowControl/>
      </w:pPr>
      <w:bookmarkStart w:id="107" w:name="slam_heading_8"/>
      <w:r>
        <w:t>6 Robustez desempeño y consistencia</w:t>
      </w:r>
      <w:bookmarkEnd w:id="107"/>
    </w:p>
    <w:p>
      <w:pPr>
        <w:keepNext w:val="0"/>
        <w:widowControl/>
        <w:spacing w:after="120"/>
      </w:pPr>
      <w:r>
        <w:t>ExperimentConfig valida rangos, unidades implícitas y combinaciones incompatibles antes de la corrida. La semilla separa flujos pseudoaleatorios de sensores; las degradaciones afectan las medidas, no el ground truth. Los estudios ASRF rechazan márgenes no finitos y dominios inválidos. Cada exportación identifica experimento, configuración, semilla, versión, fecha UTC y huella SHA-256 del código del paquete. Los lotes con diferente número de procesos conservan salidas científicas equivalentes, aunque no sus tiempos.</w:t>
      </w:r>
    </w:p>
    <w:p>
      <w:pPr>
        <w:keepNext w:val="0"/>
        <w:widowControl/>
        <w:spacing w:after="120"/>
      </w:pPr>
      <w:r>
        <w:t>Cada lanzamiento crea un identificador único y una subcarpeta nueva. El sistema no sobrescribe un resultado previo con el mismo nombre de experimento. Las figuras son productos derivados de los CSV de la corrida, no entradas del estimador. El lector puede comparar la huella del código exportada con la versión fuente empleada para reproducir un resultado.</w:t>
      </w:r>
    </w:p>
    <w:p>
      <w:pPr>
        <w:keepNext w:val="0"/>
        <w:widowControl/>
        <w:spacing w:after="120"/>
      </w:pPr>
      <w:r>
        <w:t>La aplicación no implementa tolerancia a fallos de hardware ni reconexión a fuentes externas en vivo. Puede reproducir archivos medidos con un adaptador específico. Un error de escritura se presenta al usuario y no provoca una exportación silenciosa a otra carpeta.</w:t>
      </w:r>
    </w:p>
    <w:p>
      <w:pPr>
        <w:pStyle w:val="Ttulo2"/>
        <w:keepNext/>
        <w:widowControl/>
      </w:pPr>
      <w:bookmarkStart w:id="108" w:name="slam_heading_9"/>
      <w:r>
        <w:t>6.1 Desempeño observado</w:t>
      </w:r>
      <w:bookmarkEnd w:id="108"/>
    </w:p>
    <w:p>
      <w:pPr>
        <w:keepNext w:val="0"/>
        <w:widowControl/>
        <w:spacing w:after="120"/>
      </w:pPr>
      <w:r>
        <w:t>Una demostración del 1 de octubre de 2026 ejecutó configs/example_autonomous_exploration.yaml con semilla 42, 60 s y paso 0.1 s. Completó 600 pasos y exportó 99 101 puntos XYZ. El tiempo del núcleo fue 14.80 s en el equipo de desarrollo; no incluye la interacción visible con la GUI ni constituye un benchmark entre equipos.</w:t>
      </w:r>
    </w:p>
    <w:p>
      <w:pPr>
        <w:pStyle w:val="Ttulo1"/>
        <w:keepNext/>
        <w:widowControl/>
      </w:pPr>
      <w:bookmarkStart w:id="109" w:name="slam_heading_10"/>
      <w:r>
        <w:t>7 Interfaz y usabilidad</w:t>
      </w:r>
      <w:bookmarkEnd w:id="109"/>
    </w:p>
    <w:p>
      <w:pPr>
        <w:keepNext/>
        <w:widowControl/>
        <w:spacing w:after="120"/>
        <w:jc w:val="center"/>
      </w:pPr>
      <w:r>
        <w:drawing>
          <wp:inline xmlns:a="http://schemas.openxmlformats.org/drawingml/2006/main" xmlns:pic="http://schemas.openxmlformats.org/drawingml/2006/picture">
            <wp:extent cx="5943600" cy="3900488"/>
            <wp:docPr id="1" name="Picture 1"/>
            <wp:cNvGraphicFramePr>
              <a:graphicFrameLocks noChangeAspect="1"/>
            </wp:cNvGraphicFramePr>
            <a:graphic>
              <a:graphicData uri="http://schemas.openxmlformats.org/drawingml/2006/picture">
                <pic:pic>
                  <pic:nvPicPr>
                    <pic:cNvPr id="0" name="gui_experiment.png"/>
                    <pic:cNvPicPr/>
                  </pic:nvPicPr>
                  <pic:blipFill>
                    <a:blip r:embed="rId7"/>
                    <a:stretch>
                      <a:fillRect/>
                    </a:stretch>
                  </pic:blipFill>
                  <pic:spPr>
                    <a:xfrm>
                      <a:off x="0" y="0"/>
                      <a:ext cx="5943600" cy="3900488"/>
                    </a:xfrm>
                    <a:prstGeom prst="rect"/>
                  </pic:spPr>
                </pic:pic>
              </a:graphicData>
            </a:graphic>
          </wp:inline>
        </w:drawing>
      </w:r>
    </w:p>
    <w:p>
      <w:pPr>
        <w:keepNext w:val="0"/>
        <w:widowControl/>
        <w:spacing w:after="120"/>
        <w:jc w:val="center"/>
      </w:pPr>
      <w:r>
        <w:rPr>
          <w:b/>
        </w:rPr>
        <w:t xml:space="preserve">Figura 1.</w:t>
      </w:r>
      <w:r>
        <w:t/>
      </w:r>
      <w:r>
        <w:rPr/>
        <w:t xml:space="preserve"> Formulario de SLAMCart3D con el ejemplo Reconstrucción 3D y localización XYZ cargado. Cargar ejemplo aplica parámetros; no inicia el cálculo.</w:t>
      </w:r>
    </w:p>
    <w:p>
      <w:pPr>
        <w:keepNext w:val="0"/>
        <w:widowControl/>
        <w:spacing w:after="120"/>
      </w:pPr>
      <w:r>
        <w:t>El menú Configuración de ejemplo presenta 26 títulos descriptivos; Cargar ejemplo aplica sus parámetros. Modalidad abre seis flujos de trabajo sin iniciar cálculos. Las pestañas muestran trayectorias, métricas, lotes, estudios, nube 3D, datasets, ocupación y datos externos. La escena distingue piso, paredes, carrito y nube estimada; permite recuperar pasos y ocultar la referencia. El guardado incremental conserva lo calculado. El idioma cambia sin perder valores. Las tareas se ejecutan en hilos; durante ellas se bloquean nuevos cálculos y la carga de configuraciones.</w:t>
      </w:r>
    </w:p>
    <w:p>
      <w:pPr>
        <w:pStyle w:val="Ttulo1"/>
        <w:keepNext/>
        <w:widowControl/>
      </w:pPr>
      <w:bookmarkStart w:id="110" w:name="slam_heading_11"/>
      <w:r>
        <w:t>8 Integridad y seguridad de la información</w:t>
      </w:r>
      <w:bookmarkEnd w:id="110"/>
    </w:p>
    <w:p>
      <w:pPr>
        <w:keepNext w:val="0"/>
        <w:widowControl/>
        <w:spacing w:after="120"/>
      </w:pPr>
      <w:r>
        <w:t>SLAMCart3D opera sobre archivos locales y no requiere cuentas ni conexión con un servidor para ejecutar sus experimentos. La configuración YAML o JSON se valida antes de usarse. Los resultados se escriben en directorios únicos para evitar sobrescribir corridas previas. No hay cifrado propio de archivos: la protección del directorio depende del sistema operativo y de la ubicación elegida por el usuario.</w:t>
      </w:r>
    </w:p>
    <w:p>
      <w:pPr>
        <w:pStyle w:val="Ttulo1"/>
        <w:keepNext/>
        <w:widowControl/>
      </w:pPr>
      <w:bookmarkStart w:id="111" w:name="slam_heading_12"/>
      <w:r>
        <w:t>9 Portabilidad y compatibilidad</w:t>
      </w:r>
      <w:bookmarkEnd w:id="111"/>
    </w:p>
    <w:p>
      <w:pPr>
        <w:keepNext w:val="0"/>
        <w:widowControl/>
        <w:spacing w:after="120"/>
      </w:pPr>
      <w:r>
        <w:t>El objetivo principal de la GUI compilada es Windows. Se generó una carpeta de aplicación mediante PyInstaller onedir; el ZIP candidato extraído superó --self-test en el equipo de desarrollo. Las rutas internas del paquete se verifican antes de distribuirlo. Todavía falta una instalación y ejecución completa en una máquina Windows limpia. La API y CLI requieren Python 3.10 o posterior y las dependencias declaradas en pyproject.toml.</w:t>
      </w:r>
    </w:p>
    <w:p>
      <w:pPr>
        <w:keepNext/>
        <w:widowControl/>
        <w:spacing w:after="120"/>
        <w:jc w:val="center"/>
      </w:pPr>
      <w:r>
        <w:rPr>
          <w:b/>
        </w:rPr>
        <w:t xml:space="preserve">Tabla 2. </w:t>
      </w:r>
      <w:r>
        <w:t>Tecnologías de pyproject.toml</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14"/>
        <w:gridCol w:w="3663"/>
        <w:gridCol w:w="3663"/>
      </w:tblGrid>
      <w:tr>
        <w:trPr>
          <w:tblHeader/>
          <w:cantSplit/>
        </w:trPr>
        <w:tc>
          <w:tcPr>
            <w:tcW w:type="dxa" w:w="2314"/>
            <w:vAlign w:val="center"/>
            <w:shd w:fill="1F3864"/>
          </w:tcPr>
          <w:p>
            <w:pPr>
              <w:keepNext w:val="0"/>
              <w:spacing w:before="40" w:after="40" w:line="240" w:lineRule="auto"/>
              <w:jc w:val="left"/>
            </w:pPr>
            <w:r>
              <w:rPr>
                <w:rFonts w:ascii="Calibri" w:hAnsi="Calibri"/>
                <w:b/>
                <w:color w:val="FFFFFF"/>
                <w:sz w:val="21"/>
              </w:rPr>
              <w:t>Componente</w:t>
            </w:r>
          </w:p>
        </w:tc>
        <w:tc>
          <w:tcPr>
            <w:tcW w:type="dxa" w:w="3663"/>
            <w:vAlign w:val="center"/>
            <w:shd w:fill="1F3864"/>
          </w:tcPr>
          <w:p>
            <w:pPr>
              <w:keepNext w:val="0"/>
              <w:spacing w:before="40" w:after="40" w:line="240" w:lineRule="auto"/>
              <w:jc w:val="left"/>
            </w:pPr>
            <w:r>
              <w:rPr>
                <w:rFonts w:ascii="Calibri" w:hAnsi="Calibri"/>
                <w:b/>
                <w:color w:val="FFFFFF"/>
                <w:sz w:val="21"/>
              </w:rPr>
              <w:t>Dependencia declarada</w:t>
            </w:r>
          </w:p>
        </w:tc>
        <w:tc>
          <w:tcPr>
            <w:tcW w:type="dxa" w:w="3663"/>
            <w:vAlign w:val="center"/>
            <w:shd w:fill="1F3864"/>
          </w:tcPr>
          <w:p>
            <w:pPr>
              <w:keepNext w:val="0"/>
              <w:spacing w:before="40" w:after="40" w:line="240" w:lineRule="auto"/>
              <w:jc w:val="left"/>
            </w:pPr>
            <w:r>
              <w:rPr>
                <w:rFonts w:ascii="Calibri" w:hAnsi="Calibri"/>
                <w:b/>
                <w:color w:val="FFFFFF"/>
                <w:sz w:val="21"/>
              </w:rPr>
              <w:t>Uso</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Lenguaje</w:t>
            </w:r>
          </w:p>
        </w:tc>
        <w:tc>
          <w:tcPr>
            <w:tcW w:type="dxa" w:w="3663"/>
            <w:vAlign w:val="center"/>
          </w:tcPr>
          <w:p>
            <w:pPr>
              <w:keepNext w:val="0"/>
              <w:spacing w:before="40" w:after="40" w:line="240" w:lineRule="auto"/>
              <w:jc w:val="left"/>
            </w:pPr>
            <w:r>
              <w:rPr>
                <w:rFonts w:ascii="Calibri" w:hAnsi="Calibri"/>
                <w:b w:val="0"/>
                <w:color w:val="000000"/>
                <w:sz w:val="21"/>
              </w:rPr>
              <w:t>Python ≥ 3.10</w:t>
            </w:r>
          </w:p>
        </w:tc>
        <w:tc>
          <w:tcPr>
            <w:tcW w:type="dxa" w:w="3663"/>
            <w:vAlign w:val="center"/>
          </w:tcPr>
          <w:p>
            <w:pPr>
              <w:keepNext w:val="0"/>
              <w:spacing w:before="40" w:after="40" w:line="240" w:lineRule="auto"/>
              <w:jc w:val="left"/>
            </w:pPr>
            <w:r>
              <w:rPr>
                <w:rFonts w:ascii="Calibri" w:hAnsi="Calibri"/>
                <w:b w:val="0"/>
                <w:color w:val="000000"/>
                <w:sz w:val="21"/>
              </w:rPr>
              <w:t>Núcleo y CLI</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Cálculo</w:t>
            </w:r>
          </w:p>
        </w:tc>
        <w:tc>
          <w:tcPr>
            <w:tcW w:type="dxa" w:w="3663"/>
            <w:vAlign w:val="center"/>
          </w:tcPr>
          <w:p>
            <w:pPr>
              <w:keepNext w:val="0"/>
              <w:spacing w:before="40" w:after="40" w:line="240" w:lineRule="auto"/>
              <w:jc w:val="left"/>
            </w:pPr>
            <w:r>
              <w:rPr>
                <w:rFonts w:ascii="Calibri" w:hAnsi="Calibri"/>
                <w:b w:val="0"/>
                <w:color w:val="000000"/>
                <w:sz w:val="21"/>
              </w:rPr>
              <w:t>NumPy ≥ 1.26</w:t>
            </w:r>
          </w:p>
        </w:tc>
        <w:tc>
          <w:tcPr>
            <w:tcW w:type="dxa" w:w="3663"/>
            <w:vAlign w:val="center"/>
          </w:tcPr>
          <w:p>
            <w:pPr>
              <w:keepNext w:val="0"/>
              <w:spacing w:before="40" w:after="40" w:line="240" w:lineRule="auto"/>
              <w:jc w:val="left"/>
            </w:pPr>
            <w:r>
              <w:rPr>
                <w:rFonts w:ascii="Calibri" w:hAnsi="Calibri"/>
                <w:b w:val="0"/>
                <w:color w:val="000000"/>
                <w:sz w:val="21"/>
              </w:rPr>
              <w:t>Álgebra y matrices</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Configuración</w:t>
            </w:r>
          </w:p>
        </w:tc>
        <w:tc>
          <w:tcPr>
            <w:tcW w:type="dxa" w:w="3663"/>
            <w:vAlign w:val="center"/>
          </w:tcPr>
          <w:p>
            <w:pPr>
              <w:keepNext w:val="0"/>
              <w:spacing w:before="40" w:after="40" w:line="240" w:lineRule="auto"/>
              <w:jc w:val="left"/>
            </w:pPr>
            <w:r>
              <w:rPr>
                <w:rFonts w:ascii="Calibri" w:hAnsi="Calibri"/>
                <w:b w:val="0"/>
                <w:color w:val="000000"/>
                <w:sz w:val="21"/>
              </w:rPr>
              <w:t>PyYAML ≥ 6.0</w:t>
            </w:r>
          </w:p>
        </w:tc>
        <w:tc>
          <w:tcPr>
            <w:tcW w:type="dxa" w:w="3663"/>
            <w:vAlign w:val="center"/>
          </w:tcPr>
          <w:p>
            <w:pPr>
              <w:keepNext w:val="0"/>
              <w:spacing w:before="40" w:after="40" w:line="240" w:lineRule="auto"/>
              <w:jc w:val="left"/>
            </w:pPr>
            <w:r>
              <w:rPr>
                <w:rFonts w:ascii="Calibri" w:hAnsi="Calibri"/>
                <w:b w:val="0"/>
                <w:color w:val="000000"/>
                <w:sz w:val="21"/>
              </w:rPr>
              <w:t>YAML validado</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Imágenes</w:t>
            </w:r>
          </w:p>
        </w:tc>
        <w:tc>
          <w:tcPr>
            <w:tcW w:type="dxa" w:w="3663"/>
            <w:vAlign w:val="center"/>
          </w:tcPr>
          <w:p>
            <w:pPr>
              <w:keepNext w:val="0"/>
              <w:spacing w:before="40" w:after="40" w:line="240" w:lineRule="auto"/>
              <w:jc w:val="left"/>
            </w:pPr>
            <w:r>
              <w:rPr>
                <w:rFonts w:ascii="Calibri" w:hAnsi="Calibri"/>
                <w:b w:val="0"/>
                <w:color w:val="000000"/>
                <w:sz w:val="21"/>
              </w:rPr>
              <w:t>Pillow ≥ 10.0</w:t>
            </w:r>
          </w:p>
        </w:tc>
        <w:tc>
          <w:tcPr>
            <w:tcW w:type="dxa" w:w="3663"/>
            <w:vAlign w:val="center"/>
          </w:tcPr>
          <w:p>
            <w:pPr>
              <w:keepNext w:val="0"/>
              <w:spacing w:before="40" w:after="40" w:line="240" w:lineRule="auto"/>
              <w:jc w:val="left"/>
            </w:pPr>
            <w:r>
              <w:rPr>
                <w:rFonts w:ascii="Calibri" w:hAnsi="Calibri"/>
                <w:b w:val="0"/>
                <w:color w:val="000000"/>
                <w:sz w:val="21"/>
              </w:rPr>
              <w:t>Cámara y archivos</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Figuras</w:t>
            </w:r>
          </w:p>
        </w:tc>
        <w:tc>
          <w:tcPr>
            <w:tcW w:type="dxa" w:w="3663"/>
            <w:vAlign w:val="center"/>
          </w:tcPr>
          <w:p>
            <w:pPr>
              <w:keepNext w:val="0"/>
              <w:spacing w:before="40" w:after="40" w:line="240" w:lineRule="auto"/>
              <w:jc w:val="left"/>
            </w:pPr>
            <w:r>
              <w:rPr>
                <w:rFonts w:ascii="Calibri" w:hAnsi="Calibri"/>
                <w:b w:val="0"/>
                <w:color w:val="000000"/>
                <w:sz w:val="21"/>
              </w:rPr>
              <w:t>Matplotlib ≥ 3.8</w:t>
            </w:r>
          </w:p>
        </w:tc>
        <w:tc>
          <w:tcPr>
            <w:tcW w:type="dxa" w:w="3663"/>
            <w:vAlign w:val="center"/>
          </w:tcPr>
          <w:p>
            <w:pPr>
              <w:keepNext w:val="0"/>
              <w:spacing w:before="40" w:after="40" w:line="240" w:lineRule="auto"/>
              <w:jc w:val="left"/>
            </w:pPr>
            <w:r>
              <w:rPr>
                <w:rFonts w:ascii="Calibri" w:hAnsi="Calibri"/>
                <w:b w:val="0"/>
                <w:color w:val="000000"/>
                <w:sz w:val="21"/>
              </w:rPr>
              <w:t>Exportación científica opcional</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Interfaz</w:t>
            </w:r>
          </w:p>
        </w:tc>
        <w:tc>
          <w:tcPr>
            <w:tcW w:type="dxa" w:w="3663"/>
            <w:vAlign w:val="center"/>
          </w:tcPr>
          <w:p>
            <w:pPr>
              <w:keepNext w:val="0"/>
              <w:spacing w:before="40" w:after="40" w:line="240" w:lineRule="auto"/>
              <w:jc w:val="left"/>
            </w:pPr>
            <w:r>
              <w:rPr>
                <w:rFonts w:ascii="Calibri" w:hAnsi="Calibri"/>
                <w:b w:val="0"/>
                <w:color w:val="000000"/>
                <w:sz w:val="21"/>
              </w:rPr>
              <w:t>PySide6 Essentials ≥ 6.7</w:t>
            </w:r>
          </w:p>
        </w:tc>
        <w:tc>
          <w:tcPr>
            <w:tcW w:type="dxa" w:w="3663"/>
            <w:vAlign w:val="center"/>
          </w:tcPr>
          <w:p>
            <w:pPr>
              <w:keepNext w:val="0"/>
              <w:spacing w:before="40" w:after="40" w:line="240" w:lineRule="auto"/>
              <w:jc w:val="left"/>
            </w:pPr>
            <w:r>
              <w:rPr>
                <w:rFonts w:ascii="Calibri" w:hAnsi="Calibri"/>
                <w:b w:val="0"/>
                <w:color w:val="000000"/>
                <w:sz w:val="21"/>
              </w:rPr>
              <w:t>Qt y visor esquemático propio</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Pruebas</w:t>
            </w:r>
          </w:p>
        </w:tc>
        <w:tc>
          <w:tcPr>
            <w:tcW w:type="dxa" w:w="3663"/>
            <w:vAlign w:val="center"/>
          </w:tcPr>
          <w:p>
            <w:pPr>
              <w:keepNext w:val="0"/>
              <w:spacing w:before="40" w:after="40" w:line="240" w:lineRule="auto"/>
              <w:jc w:val="left"/>
            </w:pPr>
            <w:r>
              <w:rPr>
                <w:rFonts w:ascii="Calibri" w:hAnsi="Calibri"/>
                <w:b w:val="0"/>
                <w:color w:val="000000"/>
                <w:sz w:val="21"/>
              </w:rPr>
              <w:t>pytest ≥ 8.0</w:t>
            </w:r>
          </w:p>
        </w:tc>
        <w:tc>
          <w:tcPr>
            <w:tcW w:type="dxa" w:w="3663"/>
            <w:vAlign w:val="center"/>
          </w:tcPr>
          <w:p>
            <w:pPr>
              <w:keepNext w:val="0"/>
              <w:spacing w:before="40" w:after="40" w:line="240" w:lineRule="auto"/>
              <w:jc w:val="left"/>
            </w:pPr>
            <w:r>
              <w:rPr>
                <w:rFonts w:ascii="Calibri" w:hAnsi="Calibri"/>
                <w:b w:val="0"/>
                <w:color w:val="000000"/>
                <w:sz w:val="21"/>
              </w:rPr>
              <w:t>Regresiones automatizadas</w:t>
            </w:r>
          </w:p>
        </w:tc>
      </w:tr>
      <w:tr>
        <w:trPr>
          <w:cantSplit/>
        </w:trPr>
        <w:tc>
          <w:tcPr>
            <w:tcW w:type="dxa" w:w="2314"/>
            <w:vAlign w:val="center"/>
          </w:tcPr>
          <w:p>
            <w:pPr>
              <w:keepNext w:val="0"/>
              <w:spacing w:before="40" w:after="40" w:line="240" w:lineRule="auto"/>
              <w:jc w:val="left"/>
            </w:pPr>
            <w:r>
              <w:rPr>
                <w:rFonts w:ascii="Calibri" w:hAnsi="Calibri"/>
                <w:b w:val="0"/>
                <w:color w:val="000000"/>
                <w:sz w:val="21"/>
              </w:rPr>
              <w:t>Empaquetado</w:t>
            </w:r>
          </w:p>
        </w:tc>
        <w:tc>
          <w:tcPr>
            <w:tcW w:type="dxa" w:w="3663"/>
            <w:vAlign w:val="center"/>
          </w:tcPr>
          <w:p>
            <w:pPr>
              <w:keepNext w:val="0"/>
              <w:spacing w:before="40" w:after="40" w:line="240" w:lineRule="auto"/>
              <w:jc w:val="left"/>
            </w:pPr>
            <w:r>
              <w:rPr>
                <w:rFonts w:ascii="Calibri" w:hAnsi="Calibri"/>
                <w:b w:val="0"/>
                <w:color w:val="000000"/>
                <w:sz w:val="21"/>
              </w:rPr>
              <w:t>PyInstaller ≥ 6.16</w:t>
            </w:r>
          </w:p>
        </w:tc>
        <w:tc>
          <w:tcPr>
            <w:tcW w:type="dxa" w:w="3663"/>
            <w:vAlign w:val="center"/>
          </w:tcPr>
          <w:p>
            <w:pPr>
              <w:keepNext w:val="0"/>
              <w:spacing w:before="40" w:after="40" w:line="240" w:lineRule="auto"/>
              <w:jc w:val="left"/>
            </w:pPr>
            <w:r>
              <w:rPr>
                <w:rFonts w:ascii="Calibri" w:hAnsi="Calibri"/>
                <w:b w:val="0"/>
                <w:color w:val="000000"/>
                <w:sz w:val="21"/>
              </w:rPr>
              <w:t>Windows onedir</w:t>
            </w:r>
          </w:p>
        </w:tc>
      </w:tr>
    </w:tbl>
    <w:p>
      <w:pPr>
        <w:keepNext w:val="0"/>
        <w:widowControl/>
        <w:spacing w:after="40"/>
      </w:pPr>
    </w:p>
    <w:p>
      <w:pPr>
        <w:keepNext w:val="0"/>
        <w:widowControl/>
        <w:spacing w:after="120"/>
      </w:pPr>
      <w:r>
        <w:t>Linux y macOS no se verificaron en esta entrega. La CLI evita la dependencia gráfica, pero su portabilidad debe comprobarse en cada sistema. La distribución Windows incluye _internal; mover solamente el EXE rompe el paquete.</w:t>
      </w:r>
    </w:p>
    <w:p>
      <w:pPr>
        <w:pStyle w:val="Ttulo1"/>
        <w:keepNext/>
        <w:widowControl/>
      </w:pPr>
      <w:bookmarkStart w:id="112" w:name="slam_heading_13"/>
      <w:r>
        <w:t>10 Documentación y soporte técnico</w:t>
      </w:r>
      <w:bookmarkEnd w:id="112"/>
    </w:p>
    <w:p>
      <w:pPr>
        <w:keepNext/>
        <w:widowControl/>
        <w:spacing w:after="120"/>
        <w:jc w:val="center"/>
      </w:pPr>
      <w:r>
        <w:rPr>
          <w:b/>
        </w:rPr>
        <w:t xml:space="preserve">Tabla 3. </w:t>
      </w:r>
      <w:r>
        <w:t>Documentación y contacto</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92"/>
        <w:gridCol w:w="6748"/>
      </w:tblGrid>
      <w:tr>
        <w:trPr>
          <w:tblHeader/>
          <w:cantSplit/>
        </w:trPr>
        <w:tc>
          <w:tcPr>
            <w:tcW w:type="dxa" w:w="2892"/>
            <w:vAlign w:val="center"/>
            <w:shd w:fill="1F3864"/>
          </w:tcPr>
          <w:p>
            <w:pPr>
              <w:keepNext w:val="0"/>
              <w:spacing w:before="40" w:after="40" w:line="240" w:lineRule="auto"/>
              <w:jc w:val="left"/>
            </w:pPr>
            <w:r>
              <w:rPr>
                <w:rFonts w:ascii="Calibri" w:hAnsi="Calibri"/>
                <w:b/>
                <w:color w:val="FFFFFF"/>
                <w:sz w:val="21"/>
              </w:rPr>
              <w:t>Recurso</w:t>
            </w:r>
          </w:p>
        </w:tc>
        <w:tc>
          <w:tcPr>
            <w:tcW w:type="dxa" w:w="6748"/>
            <w:vAlign w:val="center"/>
            <w:shd w:fill="1F3864"/>
          </w:tcPr>
          <w:p>
            <w:pPr>
              <w:keepNext w:val="0"/>
              <w:spacing w:before="40" w:after="40" w:line="240" w:lineRule="auto"/>
              <w:jc w:val="left"/>
            </w:pPr>
            <w:r>
              <w:rPr>
                <w:rFonts w:ascii="Calibri" w:hAnsi="Calibri"/>
                <w:b/>
                <w:color w:val="FFFFFF"/>
                <w:sz w:val="21"/>
              </w:rPr>
              <w:t>Contenido</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Manual de usuario</w:t>
            </w:r>
          </w:p>
        </w:tc>
        <w:tc>
          <w:tcPr>
            <w:tcW w:type="dxa" w:w="6748"/>
            <w:vAlign w:val="center"/>
          </w:tcPr>
          <w:p>
            <w:pPr>
              <w:keepNext w:val="0"/>
              <w:spacing w:before="40" w:after="40" w:line="240" w:lineRule="auto"/>
              <w:jc w:val="left"/>
            </w:pPr>
            <w:r>
              <w:rPr>
                <w:rFonts w:ascii="Calibri" w:hAnsi="Calibri"/>
                <w:b w:val="0"/>
                <w:color w:val="000000"/>
                <w:sz w:val="21"/>
              </w:rPr>
              <w:t>Instalación, interfaz, seis ejemplos, tutorial y lectura de resultados</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Manual técnico</w:t>
            </w:r>
          </w:p>
        </w:tc>
        <w:tc>
          <w:tcPr>
            <w:tcW w:type="dxa" w:w="6748"/>
            <w:vAlign w:val="center"/>
          </w:tcPr>
          <w:p>
            <w:pPr>
              <w:keepNext w:val="0"/>
              <w:spacing w:before="40" w:after="40" w:line="240" w:lineRule="auto"/>
              <w:jc w:val="left"/>
            </w:pPr>
            <w:r>
              <w:rPr>
                <w:rFonts w:ascii="Calibri" w:hAnsi="Calibri"/>
                <w:b w:val="0"/>
                <w:color w:val="000000"/>
                <w:sz w:val="21"/>
              </w:rPr>
              <w:t>Arquitectura, modelos, métodos, formatos y verificación</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README y configs</w:t>
            </w:r>
          </w:p>
        </w:tc>
        <w:tc>
          <w:tcPr>
            <w:tcW w:type="dxa" w:w="6748"/>
            <w:vAlign w:val="center"/>
          </w:tcPr>
          <w:p>
            <w:pPr>
              <w:keepNext w:val="0"/>
              <w:spacing w:before="40" w:after="40" w:line="240" w:lineRule="auto"/>
              <w:jc w:val="left"/>
            </w:pPr>
            <w:r>
              <w:rPr>
                <w:rFonts w:ascii="Calibri" w:hAnsi="Calibri"/>
                <w:b w:val="0"/>
                <w:color w:val="000000"/>
                <w:sz w:val="21"/>
              </w:rPr>
              <w:t>Comandos y ejemplos reproducibles</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Contacto del proyecto</w:t>
            </w:r>
          </w:p>
        </w:tc>
        <w:tc>
          <w:tcPr>
            <w:tcW w:type="dxa" w:w="6748"/>
            <w:vAlign w:val="center"/>
          </w:tcPr>
          <w:p>
            <w:pPr>
              <w:keepNext w:val="0"/>
              <w:spacing w:before="40" w:after="40" w:line="240" w:lineRule="auto"/>
              <w:jc w:val="left"/>
            </w:pPr>
            <w:r>
              <w:rPr>
                <w:rFonts w:ascii="Calibri" w:hAnsi="Calibri"/>
                <w:b w:val="0"/>
                <w:color w:val="000000"/>
                <w:sz w:val="21"/>
              </w:rPr>
              <w:t>fjburgosf@gmail.com</w:t>
            </w:r>
          </w:p>
        </w:tc>
      </w:tr>
      <w:tr>
        <w:trPr>
          <w:cantSplit/>
        </w:trPr>
        <w:tc>
          <w:tcPr>
            <w:tcW w:type="dxa" w:w="2892"/>
            <w:vAlign w:val="center"/>
          </w:tcPr>
          <w:p>
            <w:pPr>
              <w:keepNext w:val="0"/>
              <w:spacing w:before="40" w:after="40" w:line="240" w:lineRule="auto"/>
              <w:jc w:val="left"/>
            </w:pPr>
            <w:r>
              <w:rPr>
                <w:rFonts w:ascii="Calibri" w:hAnsi="Calibri"/>
                <w:b w:val="0"/>
                <w:color w:val="000000"/>
                <w:sz w:val="21"/>
              </w:rPr>
              <w:t>Repositorio designado</w:t>
            </w:r>
          </w:p>
        </w:tc>
        <w:tc>
          <w:tcPr>
            <w:tcW w:type="dxa" w:w="6748"/>
            <w:vAlign w:val="center"/>
          </w:tcPr>
          <w:p>
            <w:pPr>
              <w:keepNext w:val="0"/>
              <w:spacing w:before="40" w:after="40" w:line="240" w:lineRule="auto"/>
              <w:jc w:val="left"/>
            </w:pPr>
            <w:r>
              <w:rPr>
                <w:rFonts w:ascii="Calibri" w:hAnsi="Calibri"/>
                <w:b w:val="0"/>
                <w:color w:val="000000"/>
                <w:sz w:val="21"/>
              </w:rPr>
              <w:t>https://github.com/fjburgosf/SLAMCart3D</w:t>
            </w:r>
          </w:p>
        </w:tc>
      </w:tr>
    </w:tbl>
    <w:p>
      <w:pPr>
        <w:keepNext w:val="0"/>
        <w:widowControl/>
        <w:spacing w:after="40"/>
      </w:pPr>
    </w:p>
    <w:p>
      <w:pPr>
        <w:keepNext w:val="0"/>
        <w:widowControl/>
        <w:spacing w:after="120"/>
      </w:pPr>
      <w:r>
        <w:t>Al reportar un problema, incluya la configuración, identificador de corrida, versión, mensaje completo y pasos que lo reproducen. El contacto identifica al proyecto; no implica un servicio con plazo de respuesta comprometido.</w:t>
      </w:r>
    </w:p>
    <w:p>
      <w:pPr>
        <w:pStyle w:val="Ttulo1"/>
        <w:keepNext/>
        <w:widowControl/>
      </w:pPr>
      <w:bookmarkStart w:id="113" w:name="slam_heading_14"/>
      <w:r>
        <w:t>11 Pruebas validación y desempeño</w:t>
      </w:r>
      <w:bookmarkEnd w:id="113"/>
    </w:p>
    <w:p>
      <w:pPr>
        <w:keepNext w:val="0"/>
        <w:widowControl/>
        <w:spacing w:after="120"/>
      </w:pPr>
      <w:r>
        <w:t>Las pruebas automatizadas cubren núcleo científico, algoritmos, exportación e interfaz. La corrida EXP-A869C729D0A5 generó 6 550 puntos 3D, ATE RMSE de 0.000118 m y F1 de paredes 3D de 0.6192; su configuración, semilla, huella y figuras están conservadas en la subcarpeta de resultados. Estos números no son un benchmark de hardware ni un promedio multi-escenario.</w:t>
      </w:r>
    </w:p>
    <w:p>
      <w:pPr>
        <w:keepNext w:val="0"/>
        <w:widowControl/>
        <w:spacing w:after="120"/>
      </w:pPr>
      <w:r>
        <w:t>El paquete del ejecutable contiene la misma huella de código que la fuente evaluada. La carpeta congelada y su ZIP fueron probados con --self-test en el equipo Windows de desarrollo. La GUI se probó también en modo Qt offscreen para carga de YAML, ejecución simple, lote, ASRF, estudio controlado, dataset, cambio de idioma, nube 3D, barra temporal, referencia visual y ocupación 2D. Una revisión visible con interacción humana y una máquina limpia siguen pendientes.</w:t>
      </w:r>
    </w:p>
    <w:p>
      <w:pPr>
        <w:keepNext w:val="0"/>
        <w:widowControl/>
        <w:spacing w:after="120"/>
      </w:pPr>
      <w:r>
        <w:t>En comparaciones reales exploratorias de 25 condiciones por método, ASRF obtuvo errores de clasificación 0.066 frente a 0.000 de Grid para dead reckoning, y 0.099 frente a 0.086 para ICP LiDAR. Una frontera sintética conocida sí favoreció ASRF en cuatro presupuestos solicitados, con parada temprana en los dos mayores; no valida superioridad general. La probabilidad del surrogate y sus bandas de incertidumbre no están calibradas para decisiones de seguridad.</w:t>
      </w:r>
    </w:p>
    <w:p>
      <w:pPr>
        <w:keepNext w:val="0"/>
        <w:widowControl/>
        <w:spacing w:after="120"/>
      </w:pPr>
      <w:r>
        <w:t>Un tercer estudio con IoU de ocupación, 12 condiciones por método y tres semillas de validación por condición obtuvo error de clasificación 0.388 para ASRF, 0.265 para Grid y LHS, y 0.245 para Random. El pequeño presupuesto deja cuatro selecciones adaptativas y limita la interpretación, pero amplía la evidencia a una representación de mapa distinta de la trayectoria.</w:t>
      </w:r>
    </w:p>
    <w:p>
      <w:pPr>
        <w:keepNext w:val="0"/>
        <w:widowControl/>
        <w:spacing w:after="120"/>
      </w:pPr>
      <w:r>
        <w:t>La versión 1.0.0 aprobó 417 pruebas tanto en desarrollo como desde el ZIP fuente extraído. Incluyen modelos, sensores, degradaciones, métricas, CLI, controles Qt y estados de fallo, registro XYZ, normales medidas, vóxeles, PLY y recuperación temporal sin observaciones futuras. La autoprueba del EXE extraído devolvió código 0. Estos resultados corresponden al equipo Windows de desarrollo; no sustituyen la revisión del escritorio ni un Windows limpio.</w:t>
      </w:r>
    </w:p>
    <w:p>
      <w:pPr>
        <w:pStyle w:val="Ttulo2"/>
        <w:keepNext/>
        <w:widowControl/>
      </w:pPr>
      <w:bookmarkStart w:id="114" w:name="slam_heading_15"/>
      <w:r>
        <w:t>11.1 Evidencia ampliada</w:t>
      </w:r>
      <w:bookmarkEnd w:id="114"/>
    </w:p>
    <w:p>
      <w:pPr>
        <w:keepNext w:val="0"/>
        <w:widowControl/>
        <w:spacing w:after="120"/>
      </w:pPr>
      <w:r>
        <w:t>La revisión amplió las pruebas a 160 comparaciones con entradas pareadas, 12 exploraciones de 30 s en seis mundos y dos semillas, y diez corridas de 65 s para comparar híbrido local y variante con grafo. Las doce exploraciones tuvieron cero contactos de centro con paredes estáticas; no es una validación de seguridad física. La cobertura de paredes varió entre 0.09 y 0.94. Varias corridas acabaron sin frontera alcanzable y sin mapa completo.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977"/>
        <w:gridCol w:w="1559"/>
        <w:gridCol w:w="1559"/>
        <w:gridCol w:w="3544"/>
      </w:tblGrid>
      <w:tr>
        <w:trPr>
          <w:tblHeader/>
          <w:cantSplit/>
        </w:trPr>
        <w:tc>
          <w:tcPr>
            <w:tcW w:type="dxa" w:w="2977"/>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Semilla</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RMS directo local [m]</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RMS directo grafo [m]</w:t>
            </w:r>
          </w:p>
        </w:tc>
        <w:tc>
          <w:tcPr>
            <w:tcW w:type="dxa" w:w="354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3864"/>
          </w:tcPr>
          <w:p>
            <w:pPr>
              <w:keepNext w:val="0"/>
              <w:spacing w:after="40" w:before="40" w:line="240" w:lineRule="auto"/>
              <w:jc w:val="left"/>
            </w:pPr>
            <w:r>
              <w:rPr>
                <w:rFonts w:ascii="Calibri" w:hAnsi="Calibri"/>
                <w:b/>
                <w:color w:val="FFFFFF"/>
                <w:sz w:val="21"/>
              </w:rPr>
              <w:t>ATE local / grafo [m]</w:t>
            </w:r>
          </w:p>
        </w:tc>
      </w:tr>
      <w:tr>
        <w:trPr>
          <w:cantSplit/>
        </w:trPr>
        <w:tc>
          <w:tcPr>
            <w:tcW w:type="dxa" w:w="2977"/>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5</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0.09808</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0.03737</w:t>
            </w:r>
          </w:p>
        </w:tc>
        <w:tc>
          <w:tcPr>
            <w:tcW w:type="dxa" w:w="354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0.01874 / 0.02065</w:t>
            </w:r>
          </w:p>
        </w:tc>
      </w:tr>
      <w:tr>
        <w:trPr>
          <w:cantSplit/>
        </w:trPr>
        <w:tc>
          <w:tcPr>
            <w:tcW w:type="dxa" w:w="2977"/>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6</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0.26602</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0.06735</w:t>
            </w:r>
          </w:p>
        </w:tc>
        <w:tc>
          <w:tcPr>
            <w:tcW w:type="dxa" w:w="354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0.03298 / 0.02964</w:t>
            </w:r>
          </w:p>
        </w:tc>
      </w:tr>
      <w:tr>
        <w:trPr>
          <w:cantSplit/>
        </w:trPr>
        <w:tc>
          <w:tcPr>
            <w:tcW w:type="dxa" w:w="2977"/>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7</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0.12999</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0.04990</w:t>
            </w:r>
          </w:p>
        </w:tc>
        <w:tc>
          <w:tcPr>
            <w:tcW w:type="dxa" w:w="354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0.01984 / 0.01942</w:t>
            </w:r>
          </w:p>
        </w:tc>
      </w:tr>
      <w:tr>
        <w:trPr>
          <w:cantSplit/>
        </w:trPr>
        <w:tc>
          <w:tcPr>
            <w:tcW w:type="dxa" w:w="2977"/>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8</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0.15320</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0.06439</w:t>
            </w:r>
          </w:p>
        </w:tc>
        <w:tc>
          <w:tcPr>
            <w:tcW w:type="dxa" w:w="354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0.01830 / 0.01909</w:t>
            </w:r>
          </w:p>
        </w:tc>
      </w:tr>
      <w:tr>
        <w:trPr>
          <w:cantSplit/>
        </w:trPr>
        <w:tc>
          <w:tcPr>
            <w:tcW w:type="dxa" w:w="2977"/>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9</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0.33970</w:t>
            </w:r>
          </w:p>
        </w:tc>
        <w:tc>
          <w:tcPr>
            <w:tcW w:type="dxa" w:w="15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0.10706</w:t>
            </w:r>
          </w:p>
        </w:tc>
        <w:tc>
          <w:tcPr>
            <w:tcW w:type="dxa" w:w="354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0.01982 / 0.02633</w:t>
            </w:r>
          </w:p>
        </w:tc>
      </w:tr>
    </w:tbl>
    <w:p>
      <w:pPr>
        <w:keepNext w:val="0"/>
        <w:widowControl/>
        <w:spacing w:after="120"/>
      </w:pPr>
    </w:p>
    <w:p>
      <w:pPr>
        <w:keepNext w:val="0"/>
        <w:widowControl/>
        <w:spacing w:after="120"/>
      </w:pPr>
      <w:r>
        <w:t>En estas cinco rutas idénticas, la variante con grafo aceptó ocho cierres por corrida y redujo el RMS directo de posición en todas ellas. El ATE alineado mejoró solo en dos de cinco. La forma alineada de la trayectoria y su posición en el marco original son evaluaciones diferentes. Esto apoya estudiar el cierre sin afirmar que siempre mejora todas las métricas.</w:t>
      </w:r>
    </w:p>
    <w:p>
      <w:pPr>
        <w:keepNext w:val="0"/>
        <w:widowControl/>
        <w:spacing w:after="120"/>
      </w:pPr>
      <w:r>
        <w:t>También se reprodujeron 1 000 pasos del mismo registro Intel con los cinco estimadores. El archivo proviene del catálogo SPM ICP de la Universidad de Bonn y fue registrado por Dirk Hähnel en Intel Research Lab Seattle. Sus primeras 1 001 lecturas tenían 49 inversiones temporales; se ordenó ese subconjunto explícitamente y no se descartaron duplicados. La odometría se usó como entrada, no como verdad. No se cargó referencia independiente y no se calculó ATE real. La prueba valida lectura, cálculo finito y exportación, no precisión real ni equivalencia con el algoritmo SPM ICP. Fuente del registro: https://www.ais.uni-bonn.de/~holz/spmicp/.</w:t>
      </w:r>
    </w:p>
    <w:p>
      <w:pPr>
        <w:pStyle w:val="Ttulo1"/>
        <w:keepNext/>
        <w:widowControl/>
      </w:pPr>
      <w:bookmarkStart w:id="115" w:name="slam_heading_16"/>
      <w:r>
        <w:t>12 Impacto y utilización</w:t>
      </w:r>
      <w:bookmarkEnd w:id="115"/>
    </w:p>
    <w:p>
      <w:pPr>
        <w:keepNext w:val="0"/>
        <w:widowControl/>
        <w:spacing w:after="120"/>
      </w:pPr>
      <w:r>
        <w:t>En docencia permite relacionar cinemática, medidas, estimación y error. En investigación permite comparar degradaciones y ablaciones y conservar las entradas que sustentan una conclusión. La exportación facilita reutilizar resultados en análisis externos. Son usos previstos: no se ha documentado adopción por terceros, impacto institucional ni validación en un carrito físico.</w:t>
      </w:r>
    </w:p>
    <w:p>
      <w:pPr>
        <w:pStyle w:val="Ttulo1"/>
        <w:keepNext/>
        <w:widowControl/>
      </w:pPr>
      <w:bookmarkStart w:id="116" w:name="slam_heading_17"/>
      <w:r>
        <w:t>13 Contribución al estado del arte</w:t>
      </w:r>
      <w:bookmarkEnd w:id="116"/>
    </w:p>
    <w:p>
      <w:pPr>
        <w:pStyle w:val="Ttulo2"/>
        <w:keepNext/>
        <w:widowControl/>
      </w:pPr>
      <w:bookmarkStart w:id="117" w:name="slam_heading_18"/>
      <w:r>
        <w:t>13.1 Problema y propuesta</w:t>
      </w:r>
      <w:bookmarkEnd w:id="117"/>
    </w:p>
    <w:p>
      <w:pPr>
        <w:keepNext w:val="0"/>
        <w:widowControl/>
        <w:spacing w:after="120"/>
      </w:pPr>
      <w:r>
        <w:t>El estudio HYBRID-11BC11C95C56 compara tres referencias, dos variantes híbridas y tres ablaciones en 160 corridas con semillas pareadas. El híbrido local reduce ATE frente a ICP con LiDAR degradado (0.02589 frente a 0.11506 m) y frente a rueda/IMU con sesgo inercial (0.01810 frente a 0.14125 m). Sin embargo, con sensores moderados rueda/IMU obtiene 0.00079 m frente a 0.01956 m del híbrido, y con ruido de ruedas tampoco gana la propuesta. La odometría solo de ruedas es la mejor en el escenario de sesgo IMU. El mapa y el RPE confirman que la mejora depende de la condición y de la métrica evaluada.</w:t>
      </w:r>
    </w:p>
    <w:p>
      <w:pPr>
        <w:keepNext w:val="0"/>
        <w:widowControl/>
        <w:spacing w:after="120"/>
      </w:pPr>
      <w:r>
        <w:t>La aportación implementada reúne un estimador híbrido con confianza ajustada a partir de residuos medidos y la integración de un muestreador adaptativo de frontera con simulaciones repetibles, métricas objetivas, baselines de diseño y comparaciones de semilla independiente. El software permite aceptar o refutar una hipótesis sobre estimación y eficiencia de muestreo según escenario y presupuesto. La variante con grafo extiende la implementación con revisitas verificadas. No se afirma novedad teórica del cierre ni un resultado definitivo sobre todos los algoritmos.</w:t>
      </w:r>
    </w:p>
    <w:p>
      <w:pPr>
        <w:keepNext w:val="0"/>
        <w:widowControl/>
        <w:spacing w:after="120"/>
      </w:pPr>
      <w:r>
        <w:t>El estado físico es 2.5D. El híbrido XYZ permite correcciones de seis componentes, pero falta validación en terrenos no planos, cierre de bucles 3D, física completa de colisiones y odometría visual. La ocupación es evidencia categórica, no una probabilidad calibrada.</w:t>
      </w:r>
    </w:p>
    <w:p>
      <w:pPr>
        <w:pStyle w:val="Ttulo2"/>
        <w:keepNext/>
        <w:widowControl/>
      </w:pPr>
      <w:bookmarkStart w:id="118" w:name="slam_heading_19"/>
      <w:r>
        <w:t>13.2 Herramientas relacionadas</w:t>
      </w:r>
      <w:bookmarkEnd w:id="118"/>
    </w:p>
    <w:p>
      <w:pPr>
        <w:keepNext w:val="0"/>
        <w:widowControl/>
        <w:spacing w:after="120"/>
      </w:pPr>
      <w:r>
        <w:t>La siguiente comparación describe alcances publicados, no resultados de rendimiento frente a SLAMCart3D. Estas herramientas no se ejecutaron dentro del protocolo local.</w:t>
      </w:r>
    </w:p>
    <w:p>
      <w:pPr>
        <w:keepNext/>
        <w:widowControl/>
        <w:spacing w:after="120"/>
        <w:jc w:val="center"/>
      </w:pPr>
      <w:r>
        <w:rPr>
          <w:b/>
        </w:rPr>
        <w:t xml:space="preserve">Tabla 4. </w:t>
      </w:r>
      <w:r>
        <w:t>Alcance de herramientas relacionadas</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21"/>
        <w:gridCol w:w="3278"/>
        <w:gridCol w:w="4242"/>
      </w:tblGrid>
      <w:tr>
        <w:trPr>
          <w:tblHeader/>
          <w:cantSplit/>
        </w:trPr>
        <w:tc>
          <w:tcPr>
            <w:tcW w:type="dxa" w:w="2121"/>
            <w:vAlign w:val="center"/>
            <w:shd w:fill="1F3864"/>
          </w:tcPr>
          <w:p>
            <w:pPr>
              <w:keepNext w:val="0"/>
              <w:spacing w:before="40" w:after="40" w:line="240" w:lineRule="auto"/>
              <w:jc w:val="left"/>
            </w:pPr>
            <w:r>
              <w:rPr>
                <w:rFonts w:ascii="Calibri" w:hAnsi="Calibri"/>
                <w:b/>
                <w:color w:val="FFFFFF"/>
                <w:sz w:val="21"/>
              </w:rPr>
              <w:t>Herramienta</w:t>
            </w:r>
          </w:p>
        </w:tc>
        <w:tc>
          <w:tcPr>
            <w:tcW w:type="dxa" w:w="3278"/>
            <w:vAlign w:val="center"/>
            <w:shd w:fill="1F3864"/>
          </w:tcPr>
          <w:p>
            <w:pPr>
              <w:keepNext w:val="0"/>
              <w:spacing w:before="40" w:after="40" w:line="240" w:lineRule="auto"/>
              <w:jc w:val="left"/>
            </w:pPr>
            <w:r>
              <w:rPr>
                <w:rFonts w:ascii="Calibri" w:hAnsi="Calibri"/>
                <w:b/>
                <w:color w:val="FFFFFF"/>
                <w:sz w:val="21"/>
              </w:rPr>
              <w:t>Alcance publicado</w:t>
            </w:r>
          </w:p>
        </w:tc>
        <w:tc>
          <w:tcPr>
            <w:tcW w:type="dxa" w:w="4242"/>
            <w:vAlign w:val="center"/>
            <w:shd w:fill="1F3864"/>
          </w:tcPr>
          <w:p>
            <w:pPr>
              <w:keepNext w:val="0"/>
              <w:spacing w:before="40" w:after="40" w:line="240" w:lineRule="auto"/>
              <w:jc w:val="left"/>
            </w:pPr>
            <w:r>
              <w:rPr>
                <w:rFonts w:ascii="Calibri" w:hAnsi="Calibri"/>
                <w:b/>
                <w:color w:val="FFFFFF"/>
                <w:sz w:val="21"/>
              </w:rPr>
              <w:t>Relación con este proyecto</w:t>
            </w:r>
          </w:p>
        </w:tc>
      </w:tr>
      <w:tr>
        <w:trPr>
          <w:cantSplit/>
        </w:trPr>
        <w:tc>
          <w:tcPr>
            <w:tcW w:type="dxa" w:w="2121"/>
            <w:vAlign w:val="center"/>
          </w:tcPr>
          <w:p>
            <w:pPr>
              <w:keepNext w:val="0"/>
              <w:spacing w:before="40" w:after="40" w:line="240" w:lineRule="auto"/>
              <w:jc w:val="left"/>
            </w:pPr>
            <w:r>
              <w:rPr>
                <w:rFonts w:ascii="Calibri" w:hAnsi="Calibri"/>
                <w:b w:val="0"/>
                <w:color w:val="000000"/>
                <w:sz w:val="21"/>
              </w:rPr>
              <w:t>Cartographer [1]</w:t>
            </w:r>
          </w:p>
        </w:tc>
        <w:tc>
          <w:tcPr>
            <w:tcW w:type="dxa" w:w="3278"/>
            <w:vAlign w:val="center"/>
          </w:tcPr>
          <w:p>
            <w:pPr>
              <w:keepNext w:val="0"/>
              <w:spacing w:before="40" w:after="40" w:line="240" w:lineRule="auto"/>
              <w:jc w:val="left"/>
            </w:pPr>
            <w:r>
              <w:rPr>
                <w:rFonts w:ascii="Calibri" w:hAnsi="Calibri"/>
                <w:b w:val="0"/>
                <w:color w:val="000000"/>
                <w:sz w:val="21"/>
              </w:rPr>
              <w:t>Sistema de SLAM 2D y 3D en tiempo real.</w:t>
            </w:r>
          </w:p>
        </w:tc>
        <w:tc>
          <w:tcPr>
            <w:tcW w:type="dxa" w:w="4242"/>
            <w:vAlign w:val="center"/>
          </w:tcPr>
          <w:p>
            <w:pPr>
              <w:keepNext w:val="0"/>
              <w:spacing w:before="40" w:after="40" w:line="240" w:lineRule="auto"/>
              <w:jc w:val="left"/>
            </w:pPr>
            <w:r>
              <w:rPr>
                <w:rFonts w:ascii="Calibri" w:hAnsi="Calibri"/>
                <w:b w:val="0"/>
                <w:color w:val="000000"/>
                <w:sz w:val="21"/>
              </w:rPr>
              <w:t>Referencia de alcance más amplio; aquí se estudia un robot planar y degradaciones controladas.</w:t>
            </w:r>
          </w:p>
        </w:tc>
      </w:tr>
      <w:tr>
        <w:trPr>
          <w:cantSplit/>
        </w:trPr>
        <w:tc>
          <w:tcPr>
            <w:tcW w:type="dxa" w:w="2121"/>
            <w:vAlign w:val="center"/>
          </w:tcPr>
          <w:p>
            <w:pPr>
              <w:keepNext w:val="0"/>
              <w:spacing w:before="40" w:after="40" w:line="240" w:lineRule="auto"/>
              <w:jc w:val="left"/>
            </w:pPr>
            <w:r>
              <w:rPr>
                <w:rFonts w:ascii="Calibri" w:hAnsi="Calibri"/>
                <w:b w:val="0"/>
                <w:color w:val="000000"/>
                <w:sz w:val="21"/>
              </w:rPr>
              <w:t>ORB SLAM3 [2]</w:t>
            </w:r>
          </w:p>
        </w:tc>
        <w:tc>
          <w:tcPr>
            <w:tcW w:type="dxa" w:w="3278"/>
            <w:vAlign w:val="center"/>
          </w:tcPr>
          <w:p>
            <w:pPr>
              <w:keepNext w:val="0"/>
              <w:spacing w:before="40" w:after="40" w:line="240" w:lineRule="auto"/>
              <w:jc w:val="left"/>
            </w:pPr>
            <w:r>
              <w:rPr>
                <w:rFonts w:ascii="Calibri" w:hAnsi="Calibri"/>
                <w:b w:val="0"/>
                <w:color w:val="000000"/>
                <w:sz w:val="21"/>
              </w:rPr>
              <w:t>SLAM visual, visual inercial y multimapa.</w:t>
            </w:r>
          </w:p>
        </w:tc>
        <w:tc>
          <w:tcPr>
            <w:tcW w:type="dxa" w:w="4242"/>
            <w:vAlign w:val="center"/>
          </w:tcPr>
          <w:p>
            <w:pPr>
              <w:keepNext w:val="0"/>
              <w:spacing w:before="40" w:after="40" w:line="240" w:lineRule="auto"/>
              <w:jc w:val="left"/>
            </w:pPr>
            <w:r>
              <w:rPr>
                <w:rFonts w:ascii="Calibri" w:hAnsi="Calibri"/>
                <w:b w:val="0"/>
                <w:color w:val="000000"/>
                <w:sz w:val="21"/>
              </w:rPr>
              <w:t>Utiliza cámaras para estimación; los estimadores actuales de SLAMCart3D no consumen imágenes.</w:t>
            </w:r>
          </w:p>
        </w:tc>
      </w:tr>
      <w:tr>
        <w:trPr>
          <w:cantSplit/>
        </w:trPr>
        <w:tc>
          <w:tcPr>
            <w:tcW w:type="dxa" w:w="2121"/>
            <w:vAlign w:val="center"/>
          </w:tcPr>
          <w:p>
            <w:pPr>
              <w:keepNext w:val="0"/>
              <w:spacing w:before="40" w:after="40" w:line="240" w:lineRule="auto"/>
              <w:jc w:val="left"/>
            </w:pPr>
            <w:r>
              <w:rPr>
                <w:rFonts w:ascii="Calibri" w:hAnsi="Calibri"/>
                <w:b w:val="0"/>
                <w:color w:val="000000"/>
                <w:sz w:val="21"/>
              </w:rPr>
              <w:t>GTSAM [3]</w:t>
            </w:r>
          </w:p>
        </w:tc>
        <w:tc>
          <w:tcPr>
            <w:tcW w:type="dxa" w:w="3278"/>
            <w:vAlign w:val="center"/>
          </w:tcPr>
          <w:p>
            <w:pPr>
              <w:keepNext w:val="0"/>
              <w:spacing w:before="40" w:after="40" w:line="240" w:lineRule="auto"/>
              <w:jc w:val="left"/>
            </w:pPr>
            <w:r>
              <w:rPr>
                <w:rFonts w:ascii="Calibri" w:hAnsi="Calibri"/>
                <w:b w:val="0"/>
                <w:color w:val="000000"/>
                <w:sz w:val="21"/>
              </w:rPr>
              <w:t>Biblioteca de inferencia y optimización con grafos de factores.</w:t>
            </w:r>
          </w:p>
        </w:tc>
        <w:tc>
          <w:tcPr>
            <w:tcW w:type="dxa" w:w="4242"/>
            <w:vAlign w:val="center"/>
          </w:tcPr>
          <w:p>
            <w:pPr>
              <w:keepNext w:val="0"/>
              <w:spacing w:before="40" w:after="40" w:line="240" w:lineRule="auto"/>
              <w:jc w:val="left"/>
            </w:pPr>
            <w:r>
              <w:rPr>
                <w:rFonts w:ascii="Calibri" w:hAnsi="Calibri"/>
                <w:b w:val="0"/>
                <w:color w:val="000000"/>
                <w:sz w:val="21"/>
              </w:rPr>
              <w:t>Herramienta numérica de propósito general; el grafo planar del proyecto es una implementación limitada propia.</w:t>
            </w:r>
          </w:p>
        </w:tc>
      </w:tr>
    </w:tbl>
    <w:p>
      <w:pPr>
        <w:keepNext w:val="0"/>
        <w:widowControl/>
        <w:spacing w:after="40"/>
      </w:pPr>
    </w:p>
    <w:p>
      <w:pPr>
        <w:pStyle w:val="Ttulo2"/>
        <w:keepNext/>
        <w:widowControl/>
      </w:pPr>
      <w:bookmarkStart w:id="119" w:name="slam_heading_20"/>
      <w:r>
        <w:t>13.3 Alcance de la contribución</w:t>
      </w:r>
      <w:bookmarkEnd w:id="119"/>
    </w:p>
    <w:p>
      <w:pPr>
        <w:keepNext w:val="0"/>
        <w:widowControl/>
        <w:spacing w:after="120"/>
      </w:pPr>
      <w:r>
        <w:t>La contribución verificable es la integración de modelos explícitos, un híbrido adaptativo con ablaciones, una variante con revisitas y un método de muestreo de robustez dentro de un protocolo reproducible. ICP, exploración por fronteras y optimización de grafos son ideas establecidas. No se afirma haber inventado esas técnicas ni haber superado las herramientas citadas. El híbrido y ASRF siguen siendo propuestas experimentales cuya ventaja depende de condiciones y métricas.</w:t>
      </w:r>
    </w:p>
    <w:p>
      <w:pPr>
        <w:pStyle w:val="Ttulo3"/>
        <w:keepNext/>
        <w:widowControl/>
        <w:spacing w:after="120"/>
      </w:pPr>
      <w:r>
        <w:t>Localización XYZ y reconstrucción medida</w:t>
      </w:r>
    </w:p>
    <w:p>
      <w:pPr>
        <w:keepNext w:val="0"/>
        <w:widowControl/>
        <w:spacing w:after="120"/>
      </w:pPr>
      <w:r>
        <w:t>SLAMCart3D 1.0.0 simula un carrito sobre suelo plano. El híbrido XYZ estima seis componentes de pose con medidas multicapa y una prioridad suave de suelo nivelado. Los otros cinco métodos localizan en el plano. La reconstrucción volumétrica utiliza retornos medidos; no copia las paredes del simulador ni completa zonas desconocidas.</w:t>
      </w:r>
    </w:p>
    <w:p>
      <w:pPr>
        <w:keepNext w:val="0"/>
        <w:widowControl/>
        <w:spacing w:after="120"/>
      </w:pPr>
      <w:r>
        <w:t>La salida volumétrica ofrece superficies parciales de los vóxeles observados, además de los puntos originales. La interfaz permite ocultar por completo la referencia, ajustar tamaño de celda y apoyo mínimo, y revisar la evolución del mapa. Los datos de pose, evidencia y triángulos se exportan en CSV y PLY. La contribución implementada permite estudiar conjuntamente registro XYZ, confianza y construcción del mapa, sin atribuirle novedad demostrada ni equivalencia con un sistema de SLAM 6DoF para terrenos generales.</w:t>
      </w:r>
    </w:p>
    <w:p>
      <w:pPr>
        <w:pStyle w:val="Ttulo3"/>
        <w:keepNext/>
        <w:widowControl/>
        <w:spacing w:after="120"/>
      </w:pPr>
      <w:r>
        <w:t>Evidencia del ejemplo XYZ</w:t>
      </w:r>
    </w:p>
    <w:p>
      <w:pPr>
        <w:keepNext w:val="0"/>
        <w:widowControl/>
        <w:spacing w:after="120"/>
      </w:pPr>
      <w:r>
        <w:t>La corrida EXP-0466016F9AB5 completó 300 pasos y 30 s simulados, con semilla 42. El RMS directo de posición fue 0.034214 m, el error final 0.030163 m y la cobertura de paredes a 0.25 m 83.87%. Se obtuvieron 3691 vóxeles ocupados y 13388 triángulos, sin contactos de pared en ese ensayo. Las capturas se obtuvieron de los widgets Qt reales en modo offscreen, no del escritorio nativo. La corrida se ejecutó antes del cambio de número de versión; su registro original se conserva.</w:t>
      </w:r>
    </w:p>
    <w:p>
      <w:pPr>
        <w:keepNext w:val="0"/>
        <w:widowControl/>
        <w:spacing w:after="120"/>
      </w:pPr>
      <w:r>
        <w:t>En tres semillas pareadas de un recorrido programado de 8 s, el RMS directo del híbrido XYZ estuvo entre 0.030866 y 0.033168 m. La referencia ruedas+IMU obtuvo menor error en las tres. El ensayo no demuestra superioridad general del nuevo híbrido. Los resultados históricos de las tablas anteriores corresponden a sus respectivos protocolos y no se reinterpretan como pruebas nuevas de esta versión.</w:t>
      </w:r>
    </w:p>
    <w:p>
      <w:pPr>
        <w:pStyle w:val="Ttulo1"/>
        <w:keepNext/>
        <w:widowControl/>
      </w:pPr>
      <w:bookmarkStart w:id="120" w:name="slam_heading_21"/>
      <w:r>
        <w:t>14 Autoría</w:t>
      </w:r>
      <w:bookmarkEnd w:id="120"/>
    </w:p>
    <w:p>
      <w:pPr>
        <w:keepNext w:val="0"/>
        <w:widowControl/>
        <w:spacing w:after="120"/>
      </w:pPr>
      <w:r>
        <w:t>Los autores del proyecto son Francisco Javier Burgos Flórez y Juan Guillermo Popayán Hernández.</w:t>
      </w:r>
    </w:p>
    <w:p>
      <w:pPr>
        <w:pStyle w:val="Ttulo1"/>
        <w:keepNext/>
        <w:widowControl/>
      </w:pPr>
      <w:bookmarkStart w:id="121" w:name="slam_heading_22"/>
      <w:r>
        <w:t>Referencias</w:t>
      </w:r>
      <w:bookmarkEnd w:id="121"/>
    </w:p>
    <w:p>
      <w:pPr>
        <w:keepNext w:val="0"/>
        <w:widowControl/>
        <w:spacing w:after="120"/>
      </w:pPr>
      <w:r>
        <w:t>[1] Cartographer. Documentación oficial. https://google-cartographer.readthedocs.io/en/latest/</w:t>
      </w:r>
    </w:p>
    <w:p>
      <w:pPr>
        <w:keepNext w:val="0"/>
        <w:widowControl/>
        <w:spacing w:after="120"/>
      </w:pPr>
      <w:r>
        <w:t>[2] C. Campos y colaboradores. ORB SLAM3. IEEE Transactions on Robotics, 2021. Repositorio oficial: https://github.com/UZ-SLAMLab/ORB_SLAM3</w:t>
      </w:r>
    </w:p>
    <w:p>
      <w:pPr>
        <w:keepNext w:val="0"/>
        <w:widowControl/>
        <w:spacing w:after="120"/>
      </w:pPr>
      <w:r>
        <w:t>[3] GTSAM. Biblioteca de inferencia y optimización con grafos de factores. https://gtsam.org/</w:t>
      </w:r>
    </w:p>
    <w:sectPr w:rsidR="00A72E62">
      <w:pgSz w:w="12240" w:h="15840"/>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9D6529"/>
    <w:multiLevelType w:val="hybridMultilevel"/>
    <w:tmpl w:val="1AEC35A0"/>
    <w:lvl w:ilvl="0" w:tplc="9AAE9C80">
      <w:start w:val="1"/>
      <w:numFmt w:val="bullet"/>
      <w:lvlText w:val="●"/>
      <w:lvlJc w:val="left"/>
      <w:pPr>
        <w:ind w:left="720" w:hanging="360"/>
      </w:pPr>
    </w:lvl>
    <w:lvl w:ilvl="1" w:tplc="7D90826C">
      <w:start w:val="1"/>
      <w:numFmt w:val="bullet"/>
      <w:lvlText w:val="○"/>
      <w:lvlJc w:val="left"/>
      <w:pPr>
        <w:ind w:left="1440" w:hanging="360"/>
      </w:pPr>
    </w:lvl>
    <w:lvl w:ilvl="2" w:tplc="FF8410F2">
      <w:start w:val="1"/>
      <w:numFmt w:val="bullet"/>
      <w:lvlText w:val="■"/>
      <w:lvlJc w:val="left"/>
      <w:pPr>
        <w:ind w:left="2160" w:hanging="360"/>
      </w:pPr>
    </w:lvl>
    <w:lvl w:ilvl="3" w:tplc="9626AE70">
      <w:start w:val="1"/>
      <w:numFmt w:val="bullet"/>
      <w:lvlText w:val="●"/>
      <w:lvlJc w:val="left"/>
      <w:pPr>
        <w:ind w:left="2880" w:hanging="360"/>
      </w:pPr>
    </w:lvl>
    <w:lvl w:ilvl="4" w:tplc="A0B6E2C2">
      <w:start w:val="1"/>
      <w:numFmt w:val="bullet"/>
      <w:lvlText w:val="○"/>
      <w:lvlJc w:val="left"/>
      <w:pPr>
        <w:ind w:left="3600" w:hanging="360"/>
      </w:pPr>
    </w:lvl>
    <w:lvl w:ilvl="5" w:tplc="B9021A2A">
      <w:start w:val="1"/>
      <w:numFmt w:val="bullet"/>
      <w:lvlText w:val="■"/>
      <w:lvlJc w:val="left"/>
      <w:pPr>
        <w:ind w:left="4320" w:hanging="360"/>
      </w:pPr>
    </w:lvl>
    <w:lvl w:ilvl="6" w:tplc="17047404">
      <w:start w:val="1"/>
      <w:numFmt w:val="bullet"/>
      <w:lvlText w:val="●"/>
      <w:lvlJc w:val="left"/>
      <w:pPr>
        <w:ind w:left="5040" w:hanging="360"/>
      </w:pPr>
    </w:lvl>
    <w:lvl w:ilvl="7" w:tplc="5E648C40">
      <w:start w:val="1"/>
      <w:numFmt w:val="bullet"/>
      <w:lvlText w:val="●"/>
      <w:lvlJc w:val="left"/>
      <w:pPr>
        <w:ind w:left="5760" w:hanging="360"/>
      </w:pPr>
    </w:lvl>
    <w:lvl w:ilvl="8" w:tplc="FCAAD258">
      <w:start w:val="1"/>
      <w:numFmt w:val="bullet"/>
      <w:lvlText w:val="●"/>
      <w:lvlJc w:val="left"/>
      <w:pPr>
        <w:ind w:left="6480" w:hanging="360"/>
      </w:pPr>
    </w:lvl>
  </w:abstractNum>
  <w:abstractNum w:abstractNumId="1" w15:restartNumberingAfterBreak="0">
    <w:nsid w:val="292058B4"/>
    <w:multiLevelType w:val="singleLevel"/>
    <w:tmpl w:val="240A000F"/>
    <w:lvl w:ilvl="0">
      <w:start w:val="1"/>
      <w:numFmt w:val="decimal"/>
      <w:lvlText w:val="%1."/>
      <w:lvlJc w:val="left"/>
      <w:pPr>
        <w:ind w:left="720" w:hanging="360"/>
      </w:pPr>
    </w:lvl>
  </w:abstractNum>
  <w:abstractNum w:abstractNumId="2" w15:restartNumberingAfterBreak="0">
    <w:nsid w:val="49296B03"/>
    <w:multiLevelType w:val="singleLevel"/>
    <w:tmpl w:val="240A0001"/>
    <w:lvl w:ilvl="0">
      <w:start w:val="1"/>
      <w:numFmt w:val="bullet"/>
      <w:lvlText w:val=""/>
      <w:lvlJc w:val="left"/>
      <w:pPr>
        <w:ind w:left="720" w:hanging="360"/>
      </w:pPr>
      <w:rPr>
        <w:rFonts w:ascii="Symbol" w:hAnsi="Symbol" w:hint="default"/>
      </w:rPr>
    </w:lvl>
  </w:abstractNum>
  <w:num w:numId="1">
    <w:abstractNumId w:val="0"/>
    <w:lvlOverride w:ilvl="0">
      <w:startOverride w:val="1"/>
    </w:lvlOverride>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3A"/>
    <w:rsid w:val="00184C42"/>
    <w:rsid w:val="001D4123"/>
    <w:rsid w:val="003E1122"/>
    <w:rsid w:val="004A763A"/>
    <w:rsid w:val="004F4182"/>
    <w:rsid w:val="00551793"/>
    <w:rsid w:val="00695C1B"/>
    <w:rsid w:val="008A472F"/>
    <w:rsid w:val="008C6B9C"/>
    <w:rsid w:val="008D4443"/>
    <w:rsid w:val="00A559DA"/>
    <w:rsid w:val="00A6242F"/>
    <w:rsid w:val="00A72E62"/>
    <w:rsid w:val="00B36391"/>
    <w:rsid w:val="00C83C0A"/>
    <w:rsid w:val="00D803A9"/>
    <w:rsid w:val="00E26975"/>
    <w:rsid w:val="00E669B0"/>
    <w:rsid w:val="00ED1521"/>
    <w:rsid w:val="00F83FB2"/>
    <w:rsid w:val="00F950C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301D29"/>
  <w15:docId w15:val="{D0C959CE-4B25-4473-9E5D-B13D9EC4C8C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200"/>
      <w:outlineLvl w:val="0"/>
    </w:pPr>
    <w:rPr>
      <w:b/>
      <w:bCs/>
      <w:color w:val="1F3864"/>
      <w:sz w:val="32"/>
      <w:szCs w:val="32"/>
    </w:rPr>
  </w:style>
  <w:style w:type="paragraph" w:styleId="Ttulo2">
    <w:name w:val="heading 2"/>
    <w:uiPriority w:val="9"/>
    <w:unhideWhenUsed/>
    <w:qFormat/>
    <w:pPr>
      <w:spacing w:before="240" w:after="140"/>
      <w:outlineLvl w:val="1"/>
    </w:pPr>
    <w:rPr>
      <w:b/>
      <w:bCs/>
      <w:color w:val="0F6E6E"/>
      <w:sz w:val="26"/>
      <w:szCs w:val="26"/>
    </w:rPr>
  </w:style>
  <w:style w:type="paragraph" w:styleId="Ttulo3">
    <w:name w:val="heading 3"/>
    <w:uiPriority w:val="9"/>
    <w:unhideWhenUsed/>
    <w:qFormat/>
    <w:pPr>
      <w:spacing w:before="200" w:after="100"/>
      <w:outlineLvl w:val="2"/>
    </w:pPr>
    <w:rPr>
      <w:b/>
      <w:bCs/>
      <w:i/>
      <w:i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559DA"/>
    <w:pPr>
      <w:spacing w:after="100"/>
    </w:pPr>
  </w:style>
  <w:style w:type="paragraph" w:styleId="TDC2">
    <w:name w:val="toc 2"/>
    <w:basedOn w:val="Normal"/>
    <w:next w:val="Normal"/>
    <w:autoRedefine/>
    <w:uiPriority w:val="39"/>
    <w:unhideWhenUsed/>
    <w:rsid w:val="00A559DA"/>
    <w:pPr>
      <w:spacing w:after="100"/>
      <w:ind w:left="210"/>
    </w:pPr>
  </w:style>
  <w:style w:type="paragraph" w:styleId="TDC3">
    <w:name w:val="toc 3"/>
    <w:basedOn w:val="Normal"/>
    <w:next w:val="Normal"/>
    <w:autoRedefine/>
    <w:uiPriority w:val="39"/>
    <w:unhideWhenUsed/>
    <w:rsid w:val="00A559DA"/>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5345</Words>
  <Characters>31530</Characters>
  <Application>Microsoft Office Word</Application>
  <DocSecurity>0</DocSecurity>
  <Lines>642</Lines>
  <Paragraphs>378</Paragraphs>
  <ScaleCrop>false</ScaleCrop>
  <Company/>
  <LinksUpToDate>false</LinksUpToDate>
  <CharactersWithSpaces>36487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SLAMCart3D Descripción del software</dc:title>
  <dc:subject>Localización y mapeo de un robot móvil terrestre</dc:subject>
  <dc:creator>Francisco Javier Burgos Flórez; Juan Guillermo Popayán Hernández</dc:creator>
  <cp:keywords/>
  <dc:description/>
  <cp:lastModifiedBy>Francisco Javier Burgos Flórez; Juan Guillermo Popayán Hernández</cp:lastModifiedBy>
  <cp:revision>22</cp:revision>
  <dcterms:created xsi:type="dcterms:W3CDTF">2026-10-01T05:00:00Z</dcterms:created>
  <dcterms:modified xsi:type="dcterms:W3CDTF">2026-10-06T15:46:10Z</dcterms:modified>
  <cp:category>Documentación técnica</cp:category>
  <cp:version>1.0.0</cp:version>
</cp:coreProperties>
</file>