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técnico de SLAMCart3D</w:t>
      </w:r>
    </w:p>
    <w:p>
      <w:pPr>
        <w:spacing w:after="240"/>
      </w:pPr>
      <w:r>
        <w:t>Arquitectura, modelos, algoritmos, datos exportados, pruebas y límites del framework científico.</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Producto</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Versión y autoría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SLAMCart3D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0.1.0, versión de desarrollo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Autores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Francisco Javier Burgos Flórez; Juan Pablo Hoyos Sánchez; Juan Guillermo Popayán Hernández</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Repositorio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https://github.com/fjburgosf/SLAMCart3D</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Fecha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2026-09-29 UTC</w:t>
            </w:r>
          </w:p>
        </w:tc>
      </w:tr>
    </w:tbl>
    <w:p/>
    <w:p>
      <w:pPr>
        <w:pStyle w:val="Heading1"/>
      </w:pPr>
      <w:r>
        <w:t>1 Propósito y alcance</w:t>
      </w:r>
    </w:p>
    <w:p>
      <w:r>
        <w:t>SLAMCart3D implementa un flujo científico reproducible para analizar la degradación de algoritmos de localización y mapeo. La versión 0.1.0 contiene un núcleo ejecutable sin interfaz, una GUI opcional, tres baselines de estimación y el muestreador adaptativo ASRF. El estado verdadero del vehículo es planar; la geometría extruida, el LiDAR multicapa y las figuras 3D no constituyen una solución de SLAM 6DoF.</w:t>
      </w:r>
    </w:p>
    <w:p>
      <w:pPr>
        <w:pStyle w:val="Heading1"/>
      </w:pPr>
      <w:r>
        <w:t>2 Arquitectura del sistema</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Módulo</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Responsabilidad principal</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core</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Configuración tipada, modelos compartidos y huella del código fuente.</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worlds y robots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Geometría 2.5D determinista y cinemática diferencial.</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sensors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LiDAR planar y multicapa, IMU y cámara RGB-D esquemática.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degradation</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Ruido, sesgos, caminatas aleatorias, pérdida y oclusiones de medidas.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slam</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Interfaz común y tres baselines intercambiables.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simulation y datasets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Reloj de simulación, observaciones y exportación sin algoritmo.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metrics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Errores de trayectoria y calidad de mapas 2D y 3D.</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robustness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ASRF, baselines de muestreo, comparaciones y calibración diagnóstica.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gui y visualization</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Interfaz bilingüe, visor interactivo y figuras científicas opcionales.</w:t>
            </w:r>
          </w:p>
        </w:tc>
      </w:tr>
    </w:tbl>
    <w:p/>
    <w:p>
      <w:r>
        <w:t>Un ExperimentConfig validado entra en ObservationStream, que crea mundo y generadores pseudoaleatorios a partir de la semilla. Cada frame lleva ground truth y observaciones ideales y degradadas. El estimador recibe solo lo medido. Tras la simulación se calculan métricas, y la exportación escribe configuración, resultados y procedencia. El renderizado es opcional y no modifica el reloj ni la trayectoria científica.</w:t>
      </w:r>
    </w:p>
    <w:p>
      <w:pPr>
        <w:pStyle w:val="Heading2"/>
      </w:pPr>
      <w:r>
        <w:t>Configuración y reproducibilidad</w:t>
      </w:r>
    </w:p>
    <w:p>
      <w:r>
        <w:t>La configuración agrupa robot, LiDAR planar, LiDAR multicapa, cámara, IMU, degradación, simulación, estimador, índice SRS y ocupación. El parser de YAML o JSON produce ExperimentConfig y rechaza valores no finitos, rangos físicos imposibles, algoritmos desconocidos y perfiles de movimiento inconsistentes. La duración debe ser un múltiplo del paso temporal; cada tramo programado debe cubrir un número entero de pasos y la suma de tramos debe cubrir exactamente la duración.</w:t>
      </w:r>
    </w:p>
    <w:p>
      <w:r>
        <w:t>ObservationStream reinicializa sus generadores al iterar. LiDAR, odometría, IMU, cámara y ejes auxiliares de la IMU usan secuencias separadas. Activar un sensor opcional no cambia las medidas de los sensores existentes. El dataset y la corrida científica consumen el mismo modelo de observación; el primero omite deliberadamente cualquier actualización SLAM.</w:t>
      </w:r>
    </w:p>
    <w:p>
      <w:pPr>
        <w:pStyle w:val="Heading1"/>
      </w:pPr>
      <w:r>
        <w:t>3 Modelo cinemático y mundos</w:t>
      </w:r>
    </w:p>
    <w:p>
      <w:r>
        <w:t>El robot terrestre usa radio de rueda r, separación L y velocidades angulares derecha e izquierda. La velocidad del centro y el giro obedecen al modelo diferencial; la integración de giro constante usa el arco exacto durante cada paso.</w:t>
      </w:r>
    </w:p>
    <w:p>
      <w:pPr>
        <w:spacing w:before="100" w:after="200"/>
        <w:jc w:val="center"/>
      </w:pPr>
      <m:oMath>
        <m:r>
          <m:t xml:space="preserve">v = r(</m:t>
        </m:r>
        <m:sSub>
          <m:e>
            <m:r>
              <m:t xml:space="preserve">ω</m:t>
            </m:r>
          </m:e>
          <m:sub>
            <m:r>
              <m:t xml:space="preserve">R</m:t>
            </m:r>
          </m:sub>
        </m:sSub>
        <m:r>
          <m:t xml:space="preserve"> + </m:t>
        </m:r>
        <m:sSub>
          <m:e>
            <m:r>
              <m:t xml:space="preserve">ω</m:t>
            </m:r>
          </m:e>
          <m:sub>
            <m:r>
              <m:t xml:space="preserve">L</m:t>
            </m:r>
          </m:sub>
        </m:sSub>
        <m:r>
          <m:t xml:space="preserve">)/2,   ω = r(</m:t>
        </m:r>
        <m:sSub>
          <m:e>
            <m:r>
              <m:t xml:space="preserve">ω</m:t>
            </m:r>
          </m:e>
          <m:sub>
            <m:r>
              <m:t xml:space="preserve">R</m:t>
            </m:r>
          </m:sub>
        </m:sSub>
        <m:r>
          <m:t xml:space="preserve"> − </m:t>
        </m:r>
        <m:sSub>
          <m:e>
            <m:r>
              <m:t xml:space="preserve">ω</m:t>
            </m:r>
          </m:e>
          <m:sub>
            <m:r>
              <m:t xml:space="preserve">L</m:t>
            </m:r>
          </m:sub>
        </m:sSub>
        <m:r>
          <m:t xml:space="preserve">)/L</m:t>
        </m:r>
      </m:oMath>
    </w:p>
    <w:p>
      <w:pPr>
        <w:spacing w:before="100" w:after="200"/>
        <w:jc w:val="center"/>
      </w:pPr>
      <m:oMath>
        <m:r>
          <m:t xml:space="preserve">dx/dt = v cos ψ,   dy/dt = v sin ψ,   dψ/dt = ω</m:t>
        </m:r>
      </m:oMath>
    </w:p>
    <w:p>
      <w:r>
        <w:t>Hay seis mundos reproducibles: interior simple, corredor, interior complejo, almacén, interior con objeto móvil prescrito y exterior plano con edificios. Las paredes tienen altura finita para el ray casting multicapa. El movimiento del objeto dinámico no genera respuesta física de choque. El contador de contactos entre el centro muestreado y paredes estáticas permite detectar rutas cuestionables, sin resolver penetraciones de un chasis real.</w:t>
      </w:r>
    </w:p>
    <w:p>
      <w:pPr>
        <w:keepNext/>
        <w:jc w:val="center"/>
      </w:pPr>
      <w:r>
        <w:drawing>
          <wp:inline xmlns:a="http://schemas.openxmlformats.org/drawingml/2006/main" xmlns:pic="http://schemas.openxmlformats.org/drawingml/2006/picture">
            <wp:extent cx="4023360" cy="3268980"/>
            <wp:docPr id="1" name="Picture 1"/>
            <wp:cNvGraphicFramePr>
              <a:graphicFrameLocks noChangeAspect="1"/>
            </wp:cNvGraphicFramePr>
            <a:graphic>
              <a:graphicData uri="http://schemas.openxmlformats.org/drawingml/2006/picture">
                <pic:pic>
                  <pic:nvPicPr>
                    <pic:cNvPr id="0" name="scene_3d.png"/>
                    <pic:cNvPicPr/>
                  </pic:nvPicPr>
                  <pic:blipFill>
                    <a:blip r:embed="rId9"/>
                    <a:stretch>
                      <a:fillRect/>
                    </a:stretch>
                  </pic:blipFill>
                  <pic:spPr>
                    <a:xfrm>
                      <a:off x="0" y="0"/>
                      <a:ext cx="4023360" cy="3268980"/>
                    </a:xfrm>
                    <a:prstGeom prst="rect"/>
                  </pic:spPr>
                </pic:pic>
              </a:graphicData>
            </a:graphic>
          </wp:inline>
        </w:drawing>
      </w:r>
    </w:p>
    <w:p>
      <w:pPr>
        <w:spacing w:after="240"/>
        <w:jc w:val="center"/>
      </w:pPr>
      <w:r>
        <w:rPr>
          <w:i/>
          <w:sz w:val="18"/>
        </w:rPr>
        <w:t>Figura 1. Escena extruida y trayectorias de la corrida verificable EXP-0A04E1799939.</w:t>
      </w:r>
    </w:p>
    <w:p>
      <w:pPr>
        <w:pStyle w:val="Heading1"/>
      </w:pPr>
      <w:r>
        <w:t>4 Sensores y degradaciones</w:t>
      </w:r>
    </w:p>
    <w:p>
      <w:pPr>
        <w:pStyle w:val="Heading2"/>
      </w:pPr>
      <w:r>
        <w:t>LiDAR</w:t>
      </w:r>
    </w:p>
    <w:p>
      <w:r>
        <w:t>El LiDAR planar obtiene la distancia al primer segmento que intercepta cada rayo. El sensor multicapa opcional proyecta haces con ángulos de azimut y elevación contra paredes y suelo. La configuración separa alcance y resolución de ambos sensores. El motor de degradación puede añadir ruido, sesgo, outliers, reducción de alcance, pérdida por haz, pérdida sectorial, zonas de pérdida y perfiles temporales. Una dirección sin impacto o un haz perdido no se transforma en punto ocupado.</w:t>
      </w:r>
    </w:p>
    <w:p>
      <w:pPr>
        <w:pStyle w:val="Heading2"/>
      </w:pPr>
      <w:r>
        <w:t>IMU y cámara</w:t>
      </w:r>
    </w:p>
    <w:p>
      <w:r>
        <w:t>La IMU sintética exporta tres velocidades angulares y tres componentes de aceleración específica sobre un robot nivelado. Sus valores ideales son giro en yaw, aceleración longitudinal por cambio de velocidad, aceleración lateral v por yaw rate y 9.80665 m/s² verticales. Hay sesgo, caminata aleatoria, ruido blanco, saturación y pérdida de paquete. La fusión ruedas e IMU usa solo la componente de giro yaw. La cámara RGB-D emplea colores esquemáticos y puede degradarse con ruido, desenfoque, iluminación, contraste, oclusión y pérdida de cuadros; los tres baselines no usan sus imágenes.</w:t>
      </w:r>
    </w:p>
    <w:p>
      <w:pPr>
        <w:pStyle w:val="Heading2"/>
      </w:pPr>
      <w:r>
        <w:t>Composición de degradaciones</w:t>
      </w:r>
    </w:p>
    <w:p>
      <w:r>
        <w:t>Los perfiles de pérdida temporal admiten tasa constante, rampa lineal y cambio abrupto. Una región rectangular opcional restringe la pérdida de paquetes a coordenadas mundiales determinadas por el ground truth, sin desplazar la zona con el error de localización. Ruido, sesgo y pérdida pueden coexistir. La pérdida de odometría se representa como incremento medido cero durante ese paso; no emula un encoder que conserva su última lectura. Los cambios de iluminación afectan solo la cámara, por lo que no se usan como variables ASRF para los baselines actuales.</w:t>
      </w:r>
    </w:p>
    <w:p>
      <w:pPr>
        <w:pStyle w:val="Heading1"/>
      </w:pPr>
      <w:r>
        <w:t>5 Estimadores de referencia</w:t>
      </w:r>
    </w:p>
    <w:tbl>
      <w:tblPr>
        <w:tblW w:type="auto" w:w="0"/>
        <w:jc w:val="center"/>
        <w:tblLayout w:type="fixed"/>
        <w:tblLook w:firstColumn="1" w:firstRow="1" w:lastColumn="0" w:lastRow="0" w:noHBand="0" w:noVBand="1" w:val="04A0"/>
      </w:tblPr>
      <w:tblGrid>
        <w:gridCol w:w="2664"/>
        <w:gridCol w:w="4392"/>
        <w:gridCol w:w="2736"/>
      </w:tblGrid>
      <w:tr>
        <w:trPr>
          <w:tblHeader/>
        </w:trPr>
        <w:tc>
          <w:tcPr>
            <w:tcW w:type="dxa" w:w="326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Algoritmo</w:t>
            </w:r>
          </w:p>
        </w:tc>
        <w:tc>
          <w:tcPr>
            <w:tcW w:type="dxa" w:w="326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Entrada y función</w:t>
            </w:r>
          </w:p>
        </w:tc>
        <w:tc>
          <w:tcPr>
            <w:tcW w:type="dxa" w:w="326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Límite</w:t>
            </w:r>
          </w:p>
        </w:tc>
      </w:tr>
      <w:tr>
        <w:tc>
          <w:tcPr>
            <w:tcW w:type="dxa" w:w="266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dead_reckoning</w:t>
            </w:r>
          </w:p>
        </w:tc>
        <w:tc>
          <w:tcPr>
            <w:tcW w:type="dxa" w:w="43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Integra velocidades de rueda y coloca el mapa LiDAR.</w:t>
            </w:r>
          </w:p>
        </w:tc>
        <w:tc>
          <w:tcPr>
            <w:tcW w:type="dxa" w:w="273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Acumula deriva.</w:t>
            </w:r>
          </w:p>
        </w:tc>
      </w:tr>
      <w:tr>
        <w:tc>
          <w:tcPr>
            <w:tcW w:type="dxa" w:w="266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wheel_imu_fusion</w:t>
            </w:r>
          </w:p>
        </w:tc>
        <w:tc>
          <w:tcPr>
            <w:tcW w:type="dxa" w:w="43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Usa rueda longitudinal y giro de IMU, con respaldo de rueda.</w:t>
            </w:r>
          </w:p>
        </w:tc>
        <w:tc>
          <w:tcPr>
            <w:tcW w:type="dxa" w:w="273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No integra aceleración.</w:t>
            </w:r>
          </w:p>
        </w:tc>
      </w:tr>
      <w:tr>
        <w:tc>
          <w:tcPr>
            <w:tcW w:type="dxa" w:w="266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icp_odometry</w:t>
            </w:r>
          </w:p>
        </w:tc>
        <w:tc>
          <w:tcPr>
            <w:tcW w:type="dxa" w:w="43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Registra escaneos LiDAR consecutivos con prior de odometría.</w:t>
            </w:r>
          </w:p>
        </w:tc>
        <w:tc>
          <w:tcPr>
            <w:tcW w:type="dxa" w:w="273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No cierra bucles.</w:t>
            </w:r>
          </w:p>
        </w:tc>
      </w:tr>
    </w:tbl>
    <w:p/>
    <w:p>
      <w:r>
        <w:t>Cada implementación ofrece initialize, update, reset, get_pose, get_map y get_diagnostics. ICP usa registro punto a línea y reporta disponibilidad de registro separada de la disponibilidad de poses finitas. Ningún baseline hace optimización global de grafo, cierre de bucle u odometría visual.</w:t>
      </w:r>
    </w:p>
    <w:p>
      <w:pPr>
        <w:pStyle w:val="Heading1"/>
      </w:pPr>
      <w:r>
        <w:t>6 Métricas y referencias</w:t>
      </w:r>
    </w:p>
    <w:p>
      <w:r>
        <w:t>La evaluación de trayectoria calcula ATE tras alineación rígida SE(2), RPE traslacional y angular, error final, deriva por metro y disponibilidad. En la ecuación, las posiciones estimadas ya se han alineado sin escala con el ground truth.</w:t>
      </w:r>
    </w:p>
    <w:p>
      <w:pPr>
        <w:spacing w:before="100" w:after="200"/>
        <w:jc w:val="center"/>
      </w:pPr>
      <m:oMath>
        <m:r>
          <m:t xml:space="preserve">ATE RMSE = √[(1/N) Σᵢ ‖pᵢ − p̂ᵢ‖²]</m:t>
        </m:r>
      </m:oMath>
    </w:p>
    <w:p>
      <w:r>
        <w:t>El mapa puntual 2D usa distancias dirigidas a paredes muestreadas, precisión, recall y F1 a 0.25 m. La nube 3D se compara solo con superficies verticales estáticas, excluyendo retornos a 0.1 m del suelo o menos. La cuadrícula de ocupación opcional conserva estado desconocido y calcula IoU ocupada contra todas las celdas de pared de referencia; por ello el recall disminuye en salas no observadas. Son métricas distintas para representaciones distintas y no estiman probabilidad calibrada de ocupación.</w:t>
      </w:r>
    </w:p>
    <w:p>
      <w:r>
        <w:t>La cuadrícula sparse recorre rayos con retornos válidos desde poses estimadas. Marca el extremo ocupado y las celdas interiores libres, conservando las no visitadas como desconocidas. Una celda ocupada prevalece sobre una marca libre posterior. La evaluación compara ocupación con una rasterización de todos los muros estáticos, incluyendo ambos lados cuando el muro cae exactamente sobre un límite de celdas. La exactitud de espacio libre utiliza solo celdas libres observadas; no equivale a recall libre global.</w:t>
      </w:r>
    </w:p>
    <w:p>
      <w:pPr>
        <w:pStyle w:val="Heading1"/>
      </w:pPr>
      <w:r>
        <w:t>7 Método ASRF y comparación</w:t>
      </w:r>
    </w:p>
    <w:p>
      <w:r>
        <w:t>Para condiciones θ, un margen positivo representa fallo respecto de un umbral de una métrica seleccionada. El signo se ajusta cuando una métrica es mejor cuanto mayor. ASRF comienza con un hipercubo latino y elige nuevos puntos mediante una combinación de ambigüedad cerca de la frontera estimada y cobertura de zonas no muestreadas.</w:t>
      </w:r>
    </w:p>
    <w:p>
      <w:pPr>
        <w:spacing w:before="100" w:after="200"/>
        <w:jc w:val="center"/>
      </w:pPr>
      <m:oMath>
        <m:r>
          <m:t xml:space="preserve">g(θ) = J(θ) − </m:t>
        </m:r>
        <m:sSub>
          <m:e>
            <m:r>
              <m:t xml:space="preserve">J</m:t>
            </m:r>
          </m:e>
          <m:sub>
            <m:r>
              <m:t xml:space="preserve">crit</m:t>
            </m:r>
          </m:sub>
        </m:sSub>
      </m:oMath>
    </w:p>
    <w:p>
      <w:pPr>
        <w:spacing w:before="100" w:after="200"/>
        <w:jc w:val="center"/>
      </w:pPr>
      <m:oMath>
        <m:r>
          <m:t xml:space="preserve">a(θ) = 4p(θ)[1 − p(θ)] + λ</m:t>
        </m:r>
        <m:sSub>
          <m:e>
            <m:r>
              <m:t xml:space="preserve">d</m:t>
            </m:r>
          </m:e>
          <m:sub>
            <m:r>
              <m:t xml:space="preserve">nearest</m:t>
            </m:r>
          </m:sub>
        </m:sSub>
        <m:r>
          <m:t xml:space="preserve">(θ)</m:t>
        </m:r>
      </m:oMath>
    </w:p>
    <w:p>
      <w:r>
        <w:t>El surrogate es un promedio ponderado con kernel radial, no una probabilidad calibrada. La variación media de predicciones en 512 puntos de monitoreo puede detener la búsqueda antes del presupuesto tras ocho iteraciones estables y observación de ambas clases. Grid, Random y Latin Hypercube son los tres diseños de comparación. La validación sintética conoce exactamente su frontera; la validación con simulaciones usa una malla finita y semillas independientes, de modo que su referencia es empírica.</w:t>
      </w:r>
    </w:p>
    <w:tbl>
      <w:tblPr>
        <w:tblW w:type="auto" w:w="0"/>
        <w:jc w:val="center"/>
        <w:tblLayout w:type="fixed"/>
        <w:tblLook w:firstColumn="1" w:firstRow="1" w:lastColumn="0" w:lastRow="0" w:noHBand="0" w:noVBand="1" w:val="04A0"/>
      </w:tblPr>
      <w:tblGrid>
        <w:gridCol w:w="3024"/>
        <w:gridCol w:w="1584"/>
        <w:gridCol w:w="1584"/>
        <w:gridCol w:w="3600"/>
      </w:tblGrid>
      <w:tr>
        <w:trPr>
          <w:tblHeader/>
        </w:trPr>
        <w:tc>
          <w:tcPr>
            <w:tcW w:type="dxa" w:w="24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Comparación observada</w:t>
            </w:r>
          </w:p>
        </w:tc>
        <w:tc>
          <w:tcPr>
            <w:tcW w:type="dxa" w:w="24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Grid</w:t>
            </w:r>
          </w:p>
        </w:tc>
        <w:tc>
          <w:tcPr>
            <w:tcW w:type="dxa" w:w="24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ASRF</w:t>
            </w:r>
          </w:p>
        </w:tc>
        <w:tc>
          <w:tcPr>
            <w:tcW w:type="dxa" w:w="24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Lectura</w:t>
            </w:r>
          </w:p>
        </w:tc>
      </w:tr>
      <w:tr>
        <w:tc>
          <w:tcPr>
            <w:tcW w:type="dxa" w:w="302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Dead reckoning, error clasificación</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0.000</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0.066</w:t>
            </w:r>
          </w:p>
        </w:tc>
        <w:tc>
          <w:tcPr>
            <w:tcW w:type="dxa" w:w="3600"/>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11 × 11, 5 seeds de validación</w:t>
            </w:r>
          </w:p>
        </w:tc>
      </w:tr>
      <w:tr>
        <w:tc>
          <w:tcPr>
            <w:tcW w:type="dxa" w:w="302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Dead reckoning, Brier</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0.077</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0.100</w:t>
            </w:r>
          </w:p>
        </w:tc>
        <w:tc>
          <w:tcPr>
            <w:tcW w:type="dxa" w:w="3600"/>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No demuestra calibración</w:t>
            </w:r>
          </w:p>
        </w:tc>
      </w:tr>
      <w:tr>
        <w:tc>
          <w:tcPr>
            <w:tcW w:type="dxa" w:w="302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ICP LiDAR, error clasificación</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0.086</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0.099</w:t>
            </w:r>
          </w:p>
        </w:tc>
        <w:tc>
          <w:tcPr>
            <w:tcW w:type="dxa" w:w="3600"/>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9 × 9, 5 seeds de validación</w:t>
            </w:r>
          </w:p>
        </w:tc>
      </w:tr>
      <w:tr>
        <w:tc>
          <w:tcPr>
            <w:tcW w:type="dxa" w:w="302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Ocupación IoU, error clasificación</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0.265</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0.388</w:t>
            </w:r>
          </w:p>
        </w:tc>
        <w:tc>
          <w:tcPr>
            <w:tcW w:type="dxa" w:w="3600"/>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7 × 7, 3 seeds de validación</w:t>
            </w:r>
          </w:p>
        </w:tc>
      </w:tr>
    </w:tbl>
    <w:p/>
    <w:p>
      <w:r>
        <w:t>Las dos comparaciones reales de ATE (25 condiciones) y la de IoU (12) no favorecieron a ASRF. En la frontera matemática obtuvo menor error medio con presupuestos solicitados de 25, 50, 100 y 250 y cinco semillas; en los dos últimos se detuvo tras 50 evaluaciones de media. No se generaliza a otras escenas, algoritmos o umbrales. Brier y ECE10 no prueban calibración predictiva.</w:t>
      </w:r>
    </w:p>
    <w:p>
      <w:r>
        <w:t>La comparación de ocupación usó 12 condiciones por método y umbral IoU 0.1. Random obtuvo error 0.245, Grid y LHS 0.265, y ASRF 0.388. Solo cuatro puntos fueron adaptativos tras las ocho condiciones iniciales de ASRF; la malla 7 × 7 y tres semillas de validación por punto hacen el resultado exploratorio.</w:t>
      </w:r>
    </w:p>
    <w:p>
      <w:r>
        <w:t>En compare-real, las semillas de entrenamiento y validación deben ser disjuntas. Cada diseño recibe el mismo presupuesto de condiciones; todas las predicciones se evalúan sobre la misma malla y las mismas semillas retenidas. Error de clasificación, falsos seguros y falsos fallos se calculan frente a etiquetas empíricas; Brier usa todos los desenlaces binarios retenidos y ECE10 agrupa probabilidades en diez intervalos. El comando rechaza una malla sin ambas clases, donde FNR o FPR quedaría indefinida.</w:t>
      </w:r>
    </w:p>
    <w:p>
      <w:pPr>
        <w:pStyle w:val="Heading1"/>
      </w:pPr>
      <w:r>
        <w:t>8 Datos exportados y trazabilidad</w:t>
      </w:r>
    </w:p>
    <w:p>
      <w:r>
        <w:t>Una corrida escribe config.yaml, metadata.json, trajectory.csv, metrics.csv y mapas CSV en results/EXP. Si se solicitan figuras, crea trayectoria, escena 3D y nube 3D según sensores activos. Los datasets guardan ground truth y observaciones ideales y medidas. Lotes y estudios exportan las corridas por semilla y tablas agregadas. Cada resultado conserva identificador, configuración, semilla, versión, fecha UTC y huella SHA-256 del paquete de código.</w:t>
      </w:r>
    </w:p>
    <w:p>
      <w:r>
        <w:t>trajectory.csv registra timestamp, pose verdadera y pose estimada en metros y radianes. En el dataset, un campo CSV vacío representa una medida ausente; no debe imputarse como cero. Los puntos 3D del dataset se pueden expresar con pose verdadera para análisis de sensor, mientras que point_cloud_3d.csv de una corrida usa la pose estimada y altura fija del sensor para evaluar el mapa producido por el baseline. metadata.json especifica esa diferencia de marcos.</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Dato de procedencia</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Valor de la corrida ilustrada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Identificador</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EXP-0A04E1799939</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Semilla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42</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Huella SHA-256</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1346872c66ab4deb8bbef93183b712c91735d090c8bd38f650abab9808039bfb</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ATE RMSE</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0.000118 m</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Puntos 3D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6550</w:t>
            </w:r>
          </w:p>
        </w:tc>
      </w:tr>
    </w:tbl>
    <w:p/>
    <w:p>
      <w:pPr>
        <w:pStyle w:val="Heading1"/>
      </w:pPr>
      <w:r>
        <w:t>9 Interfaz y concurrencia</w:t>
      </w:r>
    </w:p>
    <w:p>
      <w:r>
        <w:t>La GUI Qt ofrece pestañas de experimento, trayectoria, métricas, lotes, robustez ASRF, nube 3D, dataset y ocupación 2D. Las tareas largas se ejecutan en QThread; los botones de lanzamiento se deshabilitan durante la operación y se reactivan al completar o fallar. Los mensajes y controles principales cambian entre español e inglés sin alterar la configuración. El núcleo headless no depende del renderizador de la GUI.</w:t>
      </w:r>
    </w:p>
    <w:p>
      <w:pPr>
        <w:pStyle w:val="Heading1"/>
      </w:pPr>
      <w:r>
        <w:t>10 Instalación desarrollo y compilación</w:t>
      </w:r>
    </w:p>
    <w:p>
      <w:pPr>
        <w:spacing w:before="60" w:after="200"/>
        <w:ind w:left="288"/>
      </w:pPr>
      <w:r>
        <w:rPr>
          <w:rFonts w:ascii="Consolas" w:hAnsi="Consolas"/>
          <w:sz w:val="18"/>
        </w:rPr>
        <w:t>python -m venv .venv</w:t>
      </w:r>
    </w:p>
    <w:p>
      <w:pPr>
        <w:spacing w:before="60" w:after="200"/>
        <w:ind w:left="288"/>
      </w:pPr>
      <w:r>
        <w:rPr>
          <w:rFonts w:ascii="Consolas" w:hAnsi="Consolas"/>
          <w:sz w:val="18"/>
        </w:rPr>
        <w:t>.venv\Scripts\python -m pip install -e ".[test,visualization,gui,build]"</w:t>
      </w:r>
    </w:p>
    <w:p>
      <w:pPr>
        <w:spacing w:before="60" w:after="200"/>
        <w:ind w:left="288"/>
      </w:pPr>
      <w:r>
        <w:rPr>
          <w:rFonts w:ascii="Consolas" w:hAnsi="Consolas"/>
          <w:sz w:val="18"/>
        </w:rPr>
        <w:t>.venv\Scripts\python scripts\run_workspace_checks.py</w:t>
      </w:r>
    </w:p>
    <w:p>
      <w:pPr>
        <w:spacing w:before="60" w:after="200"/>
        <w:ind w:left="288"/>
      </w:pPr>
      <w:r>
        <w:rPr>
          <w:rFonts w:ascii="Consolas" w:hAnsi="Consolas"/>
          <w:sz w:val="18"/>
        </w:rPr>
        <w:t>.venv\Scripts\python scripts\build_windows.py</w:t>
      </w:r>
    </w:p>
    <w:p>
      <w:r>
        <w:t>La compilación Windows usa PyInstaller en modo onedir y conserva archivos temporales dentro del checkout. La autoprueba del EXE se solicita con --self-test. La distribución actual pasó esa prueba tras extraerse de su ZIP; no sustituye la prueba en una máquina limpia. La API Python sigue disponible y la CLI admite run, generate-dataset, batch, robustness-study, compare-real y validaciones sintéticas.</w:t>
      </w:r>
    </w:p>
    <w:p>
      <w:pPr>
        <w:pStyle w:val="Heading1"/>
      </w:pPr>
      <w:r>
        <w:t>11 Pruebas y resultados medidos</w:t>
      </w:r>
    </w:p>
    <w:p>
      <w:r>
        <w:t>La suite tiene 178 pruebas y pasó sobre el árbol de desarrollo y sobre la copia extraída del ZIP de código. Revisa matemática, sensores, degradaciones, mapas, estimadores, estadística, ASRF, CLI y GUI en Qt offscreen. Los 18 ejemplos YAML ejecutan trayectorias finitas y reportan cero contactos entre la línea central muestreada y paredes estáticas. La compilación congelada y la copia extraída del ZIP del EXE devolvieron código 0 en --self-test. Esto no demuestra portabilidad universal, ausencia de fallos físicos o calibración del surrogate.</w:t>
      </w:r>
    </w:p>
    <w:p>
      <w:pPr>
        <w:pStyle w:val="Heading1"/>
      </w:pPr>
      <w:r>
        <w:t>12 Límites y extensiones</w:t>
      </w:r>
    </w:p>
    <w:p>
      <w:r>
        <w:t>Faltan movimiento rígido 6DoF, evitación y respuesta a colisiones, cierre de bucle, odometría visual y mapas de ocupación probabilísticos calibrados. La validación real de ASRF necesita más escenarios, presupuestos y semillas de diseño antes de evaluar una hipótesis de superioridad general. El ejecutable no se ha ensayado en un Windows limpio.</w:t>
      </w:r>
    </w:p>
    <w:p>
      <w:pPr>
        <w:pStyle w:val="Heading1"/>
      </w:pPr>
      <w:r>
        <w:t>Referencias</w:t>
      </w:r>
    </w:p>
    <w:p>
      <w:pPr>
        <w:pStyle w:val="ListBullet"/>
      </w:pPr>
      <w:r>
        <w:t>Durrant-Whyte, H. y Bailey, T. (2006). Simultaneous Localization and Mapping Part I. IEEE Robotics and Automation Magazine.</w:t>
      </w:r>
    </w:p>
    <w:p>
      <w:pPr>
        <w:pStyle w:val="ListBullet"/>
      </w:pPr>
      <w:r>
        <w:t>Besl, P. J. y McKay, N. D. (1992). A Method for Registration of 3-D Shapes. IEEE TPAMI 14(2), 239–256. DOI 10.1109/34.121791.</w:t>
      </w:r>
    </w:p>
    <w:p>
      <w:pPr>
        <w:pStyle w:val="ListBullet"/>
      </w:pPr>
      <w:r>
        <w:t>Sturm, J. y otros (2012). A Benchmark for the Evaluation of RGB-D SLAM Systems. IROS, 573–580.</w:t>
      </w:r>
    </w:p>
    <w:p>
      <w:pPr>
        <w:pStyle w:val="ListBullet"/>
      </w:pPr>
      <w:r>
        <w:t>Settles, B. (2009). Active Learning Literature Survey. Technical Report 1648, University of Wisconsin–Madison.</w:t>
      </w:r>
    </w:p>
    <w:p>
      <w:pPr>
        <w:pStyle w:val="ListBullet"/>
      </w:pPr>
      <w:r>
        <w:t>McKay, M. D., Beckman, R. J. y Conover, W. J. (1979). A Comparison of Three Methods for Selecting Values of Input Variables. Technometrics 21(2), 239–245.</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w:hAnsi="Aptos"/>
      <w:b w:val="0"/>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 SLAMCart3D</dc:title>
  <dc:subject>Arquitectura, modelos, algoritmos, datos exportados, pruebas y límites del framework científico.</dc:subject>
  <dc:creator>Francisco Javier Burgos Flórez; Juan Pablo Hoyos Sánchez; Juan Guillermo Popayán Hernández</dc:creator>
  <cp:keywords>SLAMCart3D, robótica, simulación, ASRF</cp:keywords>
  <dc:description>generated by python-docx</dc:description>
  <cp:lastModifiedBy>Francisco Javier Burgos Flórez; Juan Pablo Hoyos Sánchez; Juan Guillermo Popayán Hernández</cp:lastModifiedBy>
  <cp:revision>1</cp:revision>
  <dcterms:created xsi:type="dcterms:W3CDTF">2026-09-29T01:17:27Z</dcterms:created>
  <dcterms:modified xsi:type="dcterms:W3CDTF">2026-09-29T01:17:27Z</dcterms:modified>
  <cp:category/>
</cp:coreProperties>
</file>