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pPr>
      <w:r>
        <w:rPr>
          <w:b/>
          <w:i w:val="false"/>
          <w:color w:val="003E7E"/>
          <w:sz w:val="60"/>
        </w:rPr>
        <w:t>SensorTrust Fusion</w:t>
      </w:r>
    </w:p>
    <w:p>
      <w:pPr>
        <w:pStyle w:val="Normal"/>
        <w:jc w:val="center"/>
        <w:rPr/>
      </w:pPr>
      <w:r>
        <w:rPr>
          <w:b/>
          <w:i w:val="false"/>
          <w:color w:val="0D366B"/>
          <w:sz w:val="36"/>
        </w:rPr>
        <w:t>Descripción del Software</w:t>
      </w:r>
    </w:p>
    <w:p>
      <w:pPr>
        <w:pStyle w:val="Normal"/>
        <w:rPr/>
      </w:pPr>
      <w:r>
        <w:rPr/>
      </w:r>
    </w:p>
    <w:p>
      <w:pPr>
        <w:pStyle w:val="Normal"/>
        <w:jc w:val="center"/>
        <w:rPr/>
      </w:pPr>
      <w:r>
        <w:rPr>
          <w:b w:val="false"/>
          <w:i/>
          <w:color w:val="52514E"/>
          <w:sz w:val="24"/>
        </w:rPr>
        <w:t>A Scientific Platform for Adaptive Multisensor Fusion Under Sensor Degradation and Uncertainty</w:t>
      </w:r>
    </w:p>
    <w:p>
      <w:pPr>
        <w:pStyle w:val="Normal"/>
        <w:jc w:val="center"/>
        <w:rPr/>
      </w:pPr>
      <w:r>
        <w:rPr>
          <w:b w:val="false"/>
          <w:i/>
          <w:color w:val="52514E"/>
          <w:sz w:val="24"/>
        </w:rPr>
        <w:t>Plataforma científica para fusión multisensor adaptativa bajo degradación e incertidumbre de sensores</w:t>
      </w:r>
    </w:p>
    <w:p>
      <w:pPr>
        <w:pStyle w:val="Normal"/>
        <w:rPr/>
      </w:pPr>
      <w:r>
        <w:rPr/>
      </w:r>
    </w:p>
    <w:tbl>
      <w:tblPr>
        <w:tblW w:w="936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680"/>
        <w:gridCol w:w="4679"/>
      </w:tblGrid>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Autor:</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Versión:</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1.0.0</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Fecha:</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Septiembre de 2026</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Contacto: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fjburgosf@gmail.com</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Titular de los derechos:</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Francisco Javier Burgos Flórez</w:t>
            </w:r>
          </w:p>
        </w:tc>
      </w:tr>
      <w:tr>
        <w:trPr/>
        <w:tc>
          <w:tcPr>
            <w:tcW w:w="4680"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b/>
              </w:rPr>
              <w:t>Repositorio:</w:t>
            </w:r>
          </w:p>
        </w:tc>
        <w:tc>
          <w:tcPr>
            <w:tcW w:w="4679" w:type="dxa"/>
            <w:tcBorders>
              <w:top w:val="single" w:sz="4" w:space="0" w:color="9E9C95"/>
              <w:left w:val="single" w:sz="4" w:space="0" w:color="9E9C95"/>
              <w:bottom w:val="single" w:sz="4" w:space="0" w:color="9E9C95"/>
              <w:right w:val="single" w:sz="4" w:space="0" w:color="9E9C95"/>
            </w:tcBorders>
          </w:tcPr>
          <w:p>
            <w:pPr>
              <w:pStyle w:val="Normal"/>
              <w:widowControl/>
              <w:bidi w:val="0"/>
              <w:spacing w:before="0" w:after="200"/>
              <w:jc w:val="left"/>
              <w:rPr/>
            </w:pPr>
            <w:r>
              <w:rPr/>
              <w:t>https://github.com/fjburgosf/SensorTrustFusion</w:t>
            </w:r>
          </w:p>
        </w:tc>
      </w:tr>
    </w:tbl>
    <w:p>
      <w:pPr>
        <w:pStyle w:val="Normal"/>
        <w:rPr/>
      </w:pPr>
      <w:r>
        <w:rPr/>
      </w:r>
    </w:p>
    <w:p>
      <w:pPr>
        <w:pStyle w:val="Normal"/>
        <w:jc w:val="center"/>
        <w:rPr/>
      </w:pPr>
      <w:r>
        <w:rPr>
          <w:b w:val="false"/>
          <w:i/>
          <w:color w:val="52514E"/>
          <w:sz w:val="20"/>
        </w:rPr>
        <w:t>Software científico desarrollado y validado exclusivamente con simulación computacional y sensores virtuales; no requiere hardware externo.</w:t>
      </w:r>
      <w:r>
        <w:br w:type="page"/>
      </w:r>
    </w:p>
    <w:p>
      <w:pPr>
        <w:pStyle w:val="Normal"/>
        <w:spacing w:before="0" w:after="200"/>
        <w:rPr/>
      </w:pPr>
      <w:r>
        <w:rPr>
          <w:b/>
          <w:i w:val="false"/>
          <w:color w:val="003E7E"/>
          <w:sz w:val="32"/>
        </w:rPr>
        <w:t>Tabla de contenido</w:t>
      </w:r>
    </w:p>
    <w:sdt>
      <w:sdtPr>
        <w:docPartObj>
          <w:docPartGallery w:val="Table of Contents"/>
          <w:docPartUnique w:val="true"/>
        </w:docPartObj>
      </w:sdtPr>
      <w:sdtContent>
        <w:p>
          <w:pPr>
            <w:pStyle w:val="TOC1"/>
            <w:tabs>
              <w:tab w:val="clear" w:pos="9632"/>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1882_1293274263">
            <w:r>
              <w:rPr>
                <w:webHidden/>
                <w:rStyle w:val="IndexLink"/>
              </w:rPr>
              <w:t>1. Información general del producto</w:t>
              <w:tab/>
              <w:t>4</w:t>
            </w:r>
          </w:hyperlink>
        </w:p>
        <w:p>
          <w:pPr>
            <w:pStyle w:val="TOC1"/>
            <w:tabs>
              <w:tab w:val="clear" w:pos="9632"/>
              <w:tab w:val="right" w:pos="9631" w:leader="dot"/>
            </w:tabs>
            <w:rPr/>
          </w:pPr>
          <w:hyperlink w:anchor="__RefHeading___Toc1884_1293274263">
            <w:r>
              <w:rPr>
                <w:webHidden/>
                <w:rStyle w:val="IndexLink"/>
              </w:rPr>
              <w:t>2. Descripción general del software</w:t>
              <w:tab/>
              <w:t>4</w:t>
            </w:r>
          </w:hyperlink>
        </w:p>
        <w:p>
          <w:pPr>
            <w:pStyle w:val="TOC2"/>
            <w:tabs>
              <w:tab w:val="clear" w:pos="9349"/>
              <w:tab w:val="right" w:pos="9631" w:leader="dot"/>
            </w:tabs>
            <w:rPr/>
          </w:pPr>
          <w:hyperlink w:anchor="__RefHeading___Toc1886_1293274263">
            <w:r>
              <w:rPr>
                <w:webHidden/>
                <w:rStyle w:val="IndexLink"/>
              </w:rPr>
              <w:t>2.1 Requisitos de hardware y software</w:t>
              <w:tab/>
              <w:t>5</w:t>
            </w:r>
          </w:hyperlink>
        </w:p>
        <w:p>
          <w:pPr>
            <w:pStyle w:val="TOC2"/>
            <w:tabs>
              <w:tab w:val="clear" w:pos="9349"/>
              <w:tab w:val="right" w:pos="9631" w:leader="dot"/>
            </w:tabs>
            <w:rPr/>
          </w:pPr>
          <w:hyperlink w:anchor="__RefHeading___Toc1888_1293274263">
            <w:r>
              <w:rPr>
                <w:webHidden/>
                <w:rStyle w:val="IndexLink"/>
              </w:rPr>
              <w:t>2.2 Justificación de los requisitos</w:t>
              <w:tab/>
              <w:t>5</w:t>
            </w:r>
          </w:hyperlink>
        </w:p>
        <w:p>
          <w:pPr>
            <w:pStyle w:val="TOC1"/>
            <w:tabs>
              <w:tab w:val="clear" w:pos="9632"/>
              <w:tab w:val="right" w:pos="9631" w:leader="dot"/>
            </w:tabs>
            <w:rPr/>
          </w:pPr>
          <w:hyperlink w:anchor="__RefHeading___Toc1890_1293274263">
            <w:r>
              <w:rPr>
                <w:webHidden/>
                <w:rStyle w:val="IndexLink"/>
              </w:rPr>
              <w:t>3. Fundamentos científicos y estado del arte</w:t>
              <w:tab/>
              <w:t>6</w:t>
            </w:r>
          </w:hyperlink>
        </w:p>
        <w:p>
          <w:pPr>
            <w:pStyle w:val="TOC2"/>
            <w:tabs>
              <w:tab w:val="clear" w:pos="9349"/>
              <w:tab w:val="right" w:pos="9631" w:leader="dot"/>
            </w:tabs>
            <w:rPr/>
          </w:pPr>
          <w:hyperlink w:anchor="__RefHeading___Toc1892_1293274263">
            <w:r>
              <w:rPr>
                <w:webHidden/>
                <w:rStyle w:val="IndexLink"/>
              </w:rPr>
              <w:t>3.1 Contexto y problema científico</w:t>
              <w:tab/>
              <w:t>6</w:t>
            </w:r>
          </w:hyperlink>
        </w:p>
        <w:p>
          <w:pPr>
            <w:pStyle w:val="TOC2"/>
            <w:tabs>
              <w:tab w:val="clear" w:pos="9349"/>
              <w:tab w:val="right" w:pos="9631" w:leader="dot"/>
            </w:tabs>
            <w:rPr/>
          </w:pPr>
          <w:hyperlink w:anchor="__RefHeading___Toc1894_1293274263">
            <w:r>
              <w:rPr>
                <w:webHidden/>
                <w:rStyle w:val="IndexLink"/>
              </w:rPr>
              <w:t>3.2 Estado del arte</w:t>
              <w:tab/>
              <w:t>6</w:t>
            </w:r>
          </w:hyperlink>
        </w:p>
        <w:p>
          <w:pPr>
            <w:pStyle w:val="TOC2"/>
            <w:tabs>
              <w:tab w:val="clear" w:pos="9349"/>
              <w:tab w:val="right" w:pos="9631" w:leader="dot"/>
            </w:tabs>
            <w:rPr/>
          </w:pPr>
          <w:hyperlink w:anchor="__RefHeading___Toc1896_1293274263">
            <w:r>
              <w:rPr>
                <w:webHidden/>
                <w:rStyle w:val="IndexLink"/>
              </w:rPr>
              <w:t>3.3 Brecha y aporte metodológico</w:t>
              <w:tab/>
              <w:t>7</w:t>
            </w:r>
          </w:hyperlink>
        </w:p>
        <w:p>
          <w:pPr>
            <w:pStyle w:val="TOC2"/>
            <w:tabs>
              <w:tab w:val="clear" w:pos="9349"/>
              <w:tab w:val="right" w:pos="9631" w:leader="dot"/>
            </w:tabs>
            <w:rPr/>
          </w:pPr>
          <w:hyperlink w:anchor="__RefHeading___Toc1898_1293274263">
            <w:r>
              <w:rPr>
                <w:webHidden/>
                <w:rStyle w:val="IndexLink"/>
              </w:rPr>
              <w:t>3.4 Formulación del método SensorTrust</w:t>
              <w:tab/>
              <w:t>7</w:t>
            </w:r>
          </w:hyperlink>
        </w:p>
        <w:p>
          <w:pPr>
            <w:pStyle w:val="TOC2"/>
            <w:tabs>
              <w:tab w:val="clear" w:pos="9349"/>
              <w:tab w:val="right" w:pos="9631" w:leader="dot"/>
            </w:tabs>
            <w:rPr/>
          </w:pPr>
          <w:hyperlink w:anchor="__RefHeading___Toc1900_1293274263">
            <w:r>
              <w:rPr>
                <w:webHidden/>
                <w:rStyle w:val="IndexLink"/>
              </w:rPr>
              <w:t>3.5 Hipótesis que el software permite contrastar</w:t>
              <w:tab/>
              <w:t>8</w:t>
            </w:r>
          </w:hyperlink>
        </w:p>
        <w:p>
          <w:pPr>
            <w:pStyle w:val="TOC2"/>
            <w:tabs>
              <w:tab w:val="clear" w:pos="9349"/>
              <w:tab w:val="right" w:pos="9631" w:leader="dot"/>
            </w:tabs>
            <w:rPr/>
          </w:pPr>
          <w:hyperlink w:anchor="__RefHeading___Toc1902_1293274263">
            <w:r>
              <w:rPr>
                <w:webHidden/>
                <w:rStyle w:val="IndexLink"/>
              </w:rPr>
              <w:t>3.6 Método experimental</w:t>
              <w:tab/>
              <w:t>8</w:t>
            </w:r>
          </w:hyperlink>
        </w:p>
        <w:p>
          <w:pPr>
            <w:pStyle w:val="TOC1"/>
            <w:tabs>
              <w:tab w:val="clear" w:pos="9632"/>
              <w:tab w:val="right" w:pos="9631" w:leader="dot"/>
            </w:tabs>
            <w:rPr/>
          </w:pPr>
          <w:hyperlink w:anchor="__RefHeading___Toc1904_1293274263">
            <w:r>
              <w:rPr>
                <w:webHidden/>
                <w:rStyle w:val="IndexLink"/>
              </w:rPr>
              <w:t>4. Objetivos y área de aplicación</w:t>
              <w:tab/>
              <w:t>9</w:t>
            </w:r>
          </w:hyperlink>
        </w:p>
        <w:p>
          <w:pPr>
            <w:pStyle w:val="TOC2"/>
            <w:tabs>
              <w:tab w:val="clear" w:pos="9349"/>
              <w:tab w:val="right" w:pos="9631" w:leader="dot"/>
            </w:tabs>
            <w:rPr/>
          </w:pPr>
          <w:hyperlink w:anchor="__RefHeading___Toc1906_1293274263">
            <w:r>
              <w:rPr>
                <w:webHidden/>
                <w:rStyle w:val="IndexLink"/>
              </w:rPr>
              <w:t>4.1 Objetivo general</w:t>
              <w:tab/>
              <w:t>9</w:t>
            </w:r>
          </w:hyperlink>
        </w:p>
        <w:p>
          <w:pPr>
            <w:pStyle w:val="TOC2"/>
            <w:tabs>
              <w:tab w:val="clear" w:pos="9349"/>
              <w:tab w:val="right" w:pos="9631" w:leader="dot"/>
            </w:tabs>
            <w:rPr/>
          </w:pPr>
          <w:hyperlink w:anchor="__RefHeading___Toc1908_1293274263">
            <w:r>
              <w:rPr>
                <w:webHidden/>
                <w:rStyle w:val="IndexLink"/>
              </w:rPr>
              <w:t>4.2 Área de aplicación</w:t>
              <w:tab/>
              <w:t>10</w:t>
            </w:r>
          </w:hyperlink>
        </w:p>
        <w:p>
          <w:pPr>
            <w:pStyle w:val="TOC1"/>
            <w:tabs>
              <w:tab w:val="clear" w:pos="9632"/>
              <w:tab w:val="right" w:pos="9631" w:leader="dot"/>
            </w:tabs>
            <w:rPr/>
          </w:pPr>
          <w:hyperlink w:anchor="__RefHeading___Toc1910_1293274263">
            <w:r>
              <w:rPr>
                <w:webHidden/>
                <w:rStyle w:val="IndexLink"/>
              </w:rPr>
              <w:t>5. Funcionalidades principales</w:t>
              <w:tab/>
              <w:t>10</w:t>
            </w:r>
          </w:hyperlink>
        </w:p>
        <w:p>
          <w:pPr>
            <w:pStyle w:val="TOC1"/>
            <w:tabs>
              <w:tab w:val="clear" w:pos="9632"/>
              <w:tab w:val="right" w:pos="9631" w:leader="dot"/>
            </w:tabs>
            <w:rPr/>
          </w:pPr>
          <w:hyperlink w:anchor="__RefHeading___Toc1912_1293274263">
            <w:r>
              <w:rPr>
                <w:webHidden/>
                <w:rStyle w:val="IndexLink"/>
              </w:rPr>
              <w:t>6. Adaptabilidad, extensibilidad y mantenibilidad</w:t>
              <w:tab/>
              <w:t>11</w:t>
            </w:r>
          </w:hyperlink>
        </w:p>
        <w:p>
          <w:pPr>
            <w:pStyle w:val="TOC1"/>
            <w:tabs>
              <w:tab w:val="clear" w:pos="9632"/>
              <w:tab w:val="right" w:pos="9631" w:leader="dot"/>
            </w:tabs>
            <w:rPr/>
          </w:pPr>
          <w:hyperlink w:anchor="__RefHeading___Toc1914_1293274263">
            <w:r>
              <w:rPr>
                <w:webHidden/>
                <w:rStyle w:val="IndexLink"/>
              </w:rPr>
              <w:t>7. Robustez, desempeño y consistencia</w:t>
              <w:tab/>
              <w:t>11</w:t>
            </w:r>
          </w:hyperlink>
        </w:p>
        <w:p>
          <w:pPr>
            <w:pStyle w:val="TOC2"/>
            <w:tabs>
              <w:tab w:val="clear" w:pos="9349"/>
              <w:tab w:val="right" w:pos="9631" w:leader="dot"/>
            </w:tabs>
            <w:rPr/>
          </w:pPr>
          <w:hyperlink w:anchor="__RefHeading___Toc1916_1293274263">
            <w:r>
              <w:rPr>
                <w:webHidden/>
                <w:rStyle w:val="IndexLink"/>
              </w:rPr>
              <w:t>7.1 Robustez</w:t>
              <w:tab/>
              <w:t>11</w:t>
            </w:r>
          </w:hyperlink>
        </w:p>
        <w:p>
          <w:pPr>
            <w:pStyle w:val="TOC2"/>
            <w:tabs>
              <w:tab w:val="clear" w:pos="9349"/>
              <w:tab w:val="right" w:pos="9631" w:leader="dot"/>
            </w:tabs>
            <w:rPr/>
          </w:pPr>
          <w:hyperlink w:anchor="__RefHeading___Toc1918_1293274263">
            <w:r>
              <w:rPr>
                <w:webHidden/>
                <w:rStyle w:val="IndexLink"/>
              </w:rPr>
              <w:t>7.2 Desempeño</w:t>
              <w:tab/>
              <w:t>12</w:t>
            </w:r>
          </w:hyperlink>
        </w:p>
        <w:p>
          <w:pPr>
            <w:pStyle w:val="TOC2"/>
            <w:tabs>
              <w:tab w:val="clear" w:pos="9349"/>
              <w:tab w:val="right" w:pos="9631" w:leader="dot"/>
            </w:tabs>
            <w:rPr/>
          </w:pPr>
          <w:hyperlink w:anchor="__RefHeading___Toc1920_1293274263">
            <w:r>
              <w:rPr>
                <w:webHidden/>
                <w:rStyle w:val="IndexLink"/>
              </w:rPr>
              <w:t>7.3 Consistencia y reproducibilidad</w:t>
              <w:tab/>
              <w:t>12</w:t>
            </w:r>
          </w:hyperlink>
        </w:p>
        <w:p>
          <w:pPr>
            <w:pStyle w:val="TOC1"/>
            <w:tabs>
              <w:tab w:val="clear" w:pos="9632"/>
              <w:tab w:val="right" w:pos="9631" w:leader="dot"/>
            </w:tabs>
            <w:rPr/>
          </w:pPr>
          <w:hyperlink w:anchor="__RefHeading___Toc1922_1293274263">
            <w:r>
              <w:rPr>
                <w:webHidden/>
                <w:rStyle w:val="IndexLink"/>
              </w:rPr>
              <w:t>8. Interfaz y usabilidad</w:t>
              <w:tab/>
              <w:t>12</w:t>
            </w:r>
          </w:hyperlink>
        </w:p>
        <w:p>
          <w:pPr>
            <w:pStyle w:val="TOC1"/>
            <w:tabs>
              <w:tab w:val="clear" w:pos="9632"/>
              <w:tab w:val="right" w:pos="9631" w:leader="dot"/>
            </w:tabs>
            <w:rPr/>
          </w:pPr>
          <w:hyperlink w:anchor="__RefHeading___Toc1924_1293274263">
            <w:r>
              <w:rPr>
                <w:webHidden/>
                <w:rStyle w:val="IndexLink"/>
              </w:rPr>
              <w:t>9. Integridad y seguridad de la información</w:t>
              <w:tab/>
              <w:t>12</w:t>
            </w:r>
          </w:hyperlink>
        </w:p>
        <w:p>
          <w:pPr>
            <w:pStyle w:val="TOC1"/>
            <w:tabs>
              <w:tab w:val="clear" w:pos="9632"/>
              <w:tab w:val="right" w:pos="9631" w:leader="dot"/>
            </w:tabs>
            <w:rPr/>
          </w:pPr>
          <w:hyperlink w:anchor="__RefHeading___Toc1926_1293274263">
            <w:r>
              <w:rPr>
                <w:webHidden/>
                <w:rStyle w:val="IndexLink"/>
              </w:rPr>
              <w:t>10. Portabilidad y compatibilidad</w:t>
              <w:tab/>
              <w:t>13</w:t>
            </w:r>
          </w:hyperlink>
        </w:p>
        <w:p>
          <w:pPr>
            <w:pStyle w:val="TOC1"/>
            <w:tabs>
              <w:tab w:val="clear" w:pos="9632"/>
              <w:tab w:val="right" w:pos="9631" w:leader="dot"/>
            </w:tabs>
            <w:rPr/>
          </w:pPr>
          <w:hyperlink w:anchor="__RefHeading___Toc1928_1293274263">
            <w:r>
              <w:rPr>
                <w:webHidden/>
                <w:rStyle w:val="IndexLink"/>
              </w:rPr>
              <w:t>11. Documentación y soporte técnico</w:t>
              <w:tab/>
              <w:t>13</w:t>
            </w:r>
          </w:hyperlink>
        </w:p>
        <w:p>
          <w:pPr>
            <w:pStyle w:val="TOC1"/>
            <w:tabs>
              <w:tab w:val="clear" w:pos="9632"/>
              <w:tab w:val="right" w:pos="9631" w:leader="dot"/>
            </w:tabs>
            <w:rPr/>
          </w:pPr>
          <w:hyperlink w:anchor="__RefHeading___Toc1930_1293274263">
            <w:r>
              <w:rPr>
                <w:webHidden/>
                <w:rStyle w:val="IndexLink"/>
              </w:rPr>
              <w:t>12. Verificación, validación y desempeño</w:t>
              <w:tab/>
              <w:t>13</w:t>
            </w:r>
          </w:hyperlink>
        </w:p>
        <w:p>
          <w:pPr>
            <w:pStyle w:val="TOC1"/>
            <w:tabs>
              <w:tab w:val="clear" w:pos="9632"/>
              <w:tab w:val="right" w:pos="9631" w:leader="dot"/>
            </w:tabs>
            <w:rPr/>
          </w:pPr>
          <w:hyperlink w:anchor="__RefHeading___Toc1932_1293274263">
            <w:r>
              <w:rPr>
                <w:webHidden/>
                <w:rStyle w:val="IndexLink"/>
              </w:rPr>
              <w:t>13. Impacto y utilización</w:t>
              <w:tab/>
              <w:t>14</w:t>
            </w:r>
          </w:hyperlink>
        </w:p>
        <w:p>
          <w:pPr>
            <w:pStyle w:val="TOC1"/>
            <w:tabs>
              <w:tab w:val="clear" w:pos="9632"/>
              <w:tab w:val="right" w:pos="9631" w:leader="dot"/>
            </w:tabs>
            <w:rPr/>
          </w:pPr>
          <w:hyperlink w:anchor="__RefHeading___Toc1934_1293274263">
            <w:r>
              <w:rPr>
                <w:webHidden/>
                <w:rStyle w:val="IndexLink"/>
              </w:rPr>
              <w:t>14. Contribución al estado del arte</w:t>
              <w:tab/>
              <w:t>15</w:t>
            </w:r>
          </w:hyperlink>
        </w:p>
        <w:p>
          <w:pPr>
            <w:pStyle w:val="TOC2"/>
            <w:tabs>
              <w:tab w:val="clear" w:pos="9349"/>
              <w:tab w:val="right" w:pos="9631" w:leader="dot"/>
            </w:tabs>
            <w:rPr/>
          </w:pPr>
          <w:hyperlink w:anchor="__RefHeading___Toc1936_1293274263">
            <w:r>
              <w:rPr>
                <w:webHidden/>
                <w:rStyle w:val="IndexLink"/>
              </w:rPr>
              <w:t>14.1 Problema abordado</w:t>
              <w:tab/>
              <w:t>15</w:t>
            </w:r>
          </w:hyperlink>
        </w:p>
        <w:p>
          <w:pPr>
            <w:pStyle w:val="TOC2"/>
            <w:tabs>
              <w:tab w:val="clear" w:pos="9349"/>
              <w:tab w:val="right" w:pos="9631" w:leader="dot"/>
            </w:tabs>
            <w:rPr/>
          </w:pPr>
          <w:hyperlink w:anchor="__RefHeading___Toc1938_1293274263">
            <w:r>
              <w:rPr>
                <w:webHidden/>
                <w:rStyle w:val="IndexLink"/>
              </w:rPr>
              <w:t>14.2 Soluciones relacionadas</w:t>
              <w:tab/>
              <w:t>15</w:t>
            </w:r>
          </w:hyperlink>
        </w:p>
        <w:p>
          <w:pPr>
            <w:pStyle w:val="TOC2"/>
            <w:tabs>
              <w:tab w:val="clear" w:pos="9349"/>
              <w:tab w:val="right" w:pos="9631" w:leader="dot"/>
            </w:tabs>
            <w:rPr/>
          </w:pPr>
          <w:hyperlink w:anchor="__RefHeading___Toc1940_1293274263">
            <w:r>
              <w:rPr>
                <w:webHidden/>
                <w:rStyle w:val="IndexLink"/>
              </w:rPr>
              <w:t>14.3 Aporte</w:t>
              <w:tab/>
              <w:t>15</w:t>
            </w:r>
          </w:hyperlink>
        </w:p>
        <w:p>
          <w:pPr>
            <w:pStyle w:val="TOC1"/>
            <w:tabs>
              <w:tab w:val="clear" w:pos="9632"/>
              <w:tab w:val="right" w:pos="9631" w:leader="dot"/>
            </w:tabs>
            <w:rPr/>
          </w:pPr>
          <w:hyperlink w:anchor="__RefHeading___Toc1942_1293274263">
            <w:r>
              <w:rPr>
                <w:webHidden/>
                <w:rStyle w:val="IndexLink"/>
              </w:rPr>
              <w:t>15. Aporte del autor</w:t>
              <w:tab/>
              <w:t>16</w:t>
            </w:r>
          </w:hyperlink>
        </w:p>
        <w:p>
          <w:pPr>
            <w:pStyle w:val="TOC1"/>
            <w:tabs>
              <w:tab w:val="clear" w:pos="9632"/>
              <w:tab w:val="right" w:pos="9631" w:leader="dot"/>
            </w:tabs>
            <w:rPr/>
          </w:pPr>
          <w:hyperlink w:anchor="__RefHeading___Toc1944_1293274263">
            <w:r>
              <w:rPr>
                <w:webHidden/>
                <w:rStyle w:val="IndexLink"/>
              </w:rPr>
              <w:t>Referencias</w:t>
              <w:tab/>
              <w:t>16</w:t>
            </w:r>
          </w:hyperlink>
          <w:r>
            <w:rPr>
              <w:rStyle w:val="IndexLink"/>
            </w:rPr>
            <w:fldChar w:fldCharType="end"/>
          </w:r>
        </w:p>
      </w:sdtContent>
    </w:sdt>
    <w:p>
      <w:pPr>
        <w:pStyle w:val="Heading1"/>
        <w:spacing w:before="0" w:after="80"/>
        <w:rPr/>
      </w:pPr>
      <w:r>
        <w:br w:type="page"/>
      </w:r>
      <w:bookmarkStart w:id="0" w:name="__RefHeading___Toc1882_1293274263"/>
      <w:bookmarkEnd w:id="0"/>
      <w:r>
        <w:rPr/>
        <w:t>1. Información general del producto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321"/>
        <w:gridCol w:w="7310"/>
      </w:tblGrid>
      <w:tr>
        <w:trPr>
          <w:tblHeader w:val="true"/>
        </w:trPr>
        <w:tc>
          <w:tcPr>
            <w:tcW w:w="232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Campo</w:t>
            </w:r>
          </w:p>
        </w:tc>
        <w:tc>
          <w:tcPr>
            <w:tcW w:w="7310"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Información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Nombre del software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Fusion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Subtítulo (inglés)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 Scientific Platform for Adaptive Multisensor Fusion Under Sensor Degradation and Uncertainty</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Subtítulo (español)</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Plataforma científica para fusión multisensor adaptativa bajo degradación e incertidumbre de sensores</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Versión</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Tipo de producto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Software científico de escritorio y biblioteca de Python para investigación experimental en fusión multisensor, confiabilidad de sensores y degradación no estacionaria.</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Campo / área</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Fusión sensorial, estimación de estado, filtrado de Kalman, detección y diagnóstico de fallos, confiabilidad de sensores, instrumentación, sistemas dinámicos, robótica y navegación, métodos de Monte Carlo y análisis de sensibilidad.</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Autor</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Francisco Javier Burgos Flórez (autor único)</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Contacto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fjburgosf@gmail.com</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Titular de los derechos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Francisco Javier Burgos Flórez</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Año de desarrollo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2026</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Estado del software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Funcional; probado en Linux y Windows; ejecutable autocontenido para Windows.</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Lenguaje de programación</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Python 3.10 o superior; interfaz gráfica PySide6 (Qt).</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Plataformas</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Windows (ejecutable y código fuente), Linux y macOS (código fuente).</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Hardware asociado</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Ninguno. Computador convencional; no requiere sensores, tarjetas de adquisición ni instrumentación.</w:t>
            </w:r>
          </w:p>
        </w:tc>
      </w:tr>
      <w:tr>
        <w:trPr/>
        <w:tc>
          <w:tcPr>
            <w:tcW w:w="23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Repositorio de código fuente</w:t>
            </w:r>
          </w:p>
        </w:tc>
        <w:tc>
          <w:tcPr>
            <w:tcW w:w="7310"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https://github.com/fjburgosf/SensorTrustFusion</w:t>
            </w:r>
            <w:bookmarkStart w:id="1" w:name="información-general-del-producto"/>
            <w:bookmarkEnd w:id="1"/>
          </w:p>
        </w:tc>
      </w:tr>
    </w:tbl>
    <w:p>
      <w:pPr>
        <w:pStyle w:val="Heading1"/>
        <w:rPr/>
      </w:pPr>
      <w:bookmarkStart w:id="2" w:name="__RefHeading___Toc1884_1293274263"/>
      <w:bookmarkEnd w:id="2"/>
      <w:r>
        <w:rPr/>
        <w:t>2. Descripción general del software</w:t>
      </w:r>
    </w:p>
    <w:p>
      <w:pPr>
        <w:pStyle w:val="FirstParagraph"/>
        <w:rPr/>
      </w:pPr>
      <w:r>
        <w:rPr/>
        <w:t xml:space="preserve">SensorTrust Fusion es una plataforma de software científico para formular, simular, ejecutar, analizar y reproducir experimentos sobre fusión multisensor adaptativa bajo degradación no estacionaria, incertidumbre y fallos de sensores. Su identidad científica es la </w:t>
      </w:r>
      <w:r>
        <w:rPr>
          <w:b/>
          <w:bCs/>
        </w:rPr>
        <w:t>estimación dinámica de la confiabilidad</w:t>
      </w:r>
      <w:r>
        <w:rPr/>
        <w:t xml:space="preserve"> </w:t>
      </w:r>
      <w:r>
        <w:rPr/>
      </w:r>
      <m:oMath xmlns:m="http://schemas.openxmlformats.org/officeDocument/2006/math">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t xml:space="preserve"> de cada sensor a partir de los dos primeros momentos de la innovación y el estudio de su impacto sobre el desempeño de la estimación.</w:t>
      </w:r>
    </w:p>
    <w:p>
      <w:pPr>
        <w:pStyle w:val="BodyText"/>
        <w:rPr/>
      </w:pPr>
      <w:r>
        <w:rPr/>
        <w:t>El software aborda una limitación recurrente de la investigación en fusión sensorial: evaluar un algoritmo adaptativo exige conocer el valor verdadero del sistema, controlar el instante, el tipo y la magnitud de las degradaciones, ejecutar muchos algoritmos sobre datos idénticos y repetir exactamente los experimentos, algo que no es posible con sensores físicos. SensorTrust Fusion resuelve esta necesidad mediante una cadena completamente simulada y reproducible:</w:t>
      </w:r>
    </w:p>
    <w:p>
      <w:pPr>
        <w:pStyle w:val="SourceCode"/>
        <w:rPr/>
      </w:pPr>
      <w:r>
        <w:rPr>
          <w:rStyle w:val="VerbatimChar"/>
        </w:rPr>
        <w:t>Ground Truth Simulator -&gt; Virtual Sensor Generator -&gt; Noise / Uncertainty / Degradation Engine</w:t>
      </w:r>
      <w:r>
        <w:rPr/>
        <w:br/>
      </w:r>
      <w:r>
        <w:rPr>
          <w:rStyle w:val="VerbatimChar"/>
        </w:rPr>
        <w:t xml:space="preserve">  -&gt; Multisensor Measurements -&gt; Fusion / Estimation Algorithms -&gt; Sensor Trust Estimation</w:t>
      </w:r>
      <w:r>
        <w:rPr/>
        <w:br/>
      </w:r>
      <w:r>
        <w:rPr>
          <w:rStyle w:val="VerbatimChar"/>
        </w:rPr>
        <w:t xml:space="preserve">  -&gt; State Estimate -&gt; Scientific Metrics -&gt; Statistical Analysis -&gt; Reproducible Results</w:t>
      </w:r>
    </w:p>
    <w:p>
      <w:pPr>
        <w:pStyle w:val="FirstParagraph"/>
        <w:rPr/>
      </w:pPr>
      <w:r>
        <w:rPr/>
        <w:t xml:space="preserve">El sistema genera la evolución verdadera de un modelo dinámico, produce mediciones de cualquier número de sensores virtuales con ruido y degradaciones configurables (conservando el valor verdadero de los fallos), ejecuta sobre el </w:t>
      </w:r>
      <w:r>
        <w:rPr>
          <w:b/>
          <w:bCs/>
        </w:rPr>
        <w:t>mismo</w:t>
      </w:r>
      <w:r>
        <w:rPr/>
        <w:t xml:space="preserve"> conjunto de datos algoritmos de fusión estáticos, filtros de Kalman (KF, EKF, UKF) con distintas estrategias de covarianza y el método SensorTrust basado en la innovación, calcula métricas objetivas de estimación, consistencia, detección, confianza, pesos y robustez, y automatiza estudios Monte Carlo, barridos paramétricos, envolventes de robustez y análisis de sensibilidad. Cada resultado queda asociado a su configuración, su semilla y huellas criptográficas que permiten verificar su reproducción.</w:t>
      </w:r>
    </w:p>
    <w:p>
      <w:pPr>
        <w:pStyle w:val="BodyText"/>
        <w:rPr/>
      </w:pPr>
      <w:r>
        <w:rPr>
          <w:b/>
          <w:bCs/>
        </w:rPr>
        <w:t>Carácter científico.</w:t>
      </w:r>
      <w:r>
        <w:rPr/>
        <w:t xml:space="preserve"> El carácter científico no proviene del uso de ecuaciones, sino de que el software permite diseñar experimentos, generar el valor verdadero, modelar sensores, simular degradaciones, desarrollar y comparar algoritmos, probar hipótesis, ejecutar Monte Carlo, medir incertidumbre, cuantificar desempeño, realizar análisis de sensibilidad, repetir experimentos preservando semillas y generar conjuntos de datos reutilizables. No se limita a un único método: soporta líneas de investigación como la fusión basada en momentos de la innovación, sesgo frente a degradación de varianza, confianza consciente de la recuperación, límites de robustez, Kalman adaptativo frente a fusión basada en confianza, degradación simultánea y sensibilidad de estimadores de confianza. Los fundamentos, el estado del arte y las hipótesis verificables se presentan en la sección 3.</w:t>
      </w:r>
    </w:p>
    <w:p>
      <w:pPr>
        <w:pStyle w:val="BodyText"/>
        <w:rPr/>
      </w:pPr>
      <w:r>
        <w:rPr>
          <w:b/>
          <w:bCs/>
        </w:rPr>
        <w:t>Usuarios.</w:t>
      </w:r>
      <w:r>
        <w:rPr/>
        <w:t xml:space="preserve"> Investigadores, estudiantes de posgrado y personal técnico en estimación, fusión sensorial, instrumentación, control, robótica y navegación.</w:t>
      </w:r>
    </w:p>
    <w:p>
      <w:pPr>
        <w:pStyle w:val="Heading2"/>
        <w:rPr/>
      </w:pPr>
      <w:bookmarkStart w:id="3" w:name="__RefHeading___Toc1886_1293274263"/>
      <w:bookmarkEnd w:id="3"/>
      <w:r>
        <w:rPr/>
        <w:t>2.1 Requisitos de hardware y software</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457"/>
        <w:gridCol w:w="7174"/>
      </w:tblGrid>
      <w:tr>
        <w:trPr>
          <w:tblHeader w:val="true"/>
        </w:trPr>
        <w:tc>
          <w:tcPr>
            <w:tcW w:w="245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Requisito</w:t>
            </w:r>
          </w:p>
        </w:tc>
        <w:tc>
          <w:tcPr>
            <w:tcW w:w="7174"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Detalle</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Computador</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Computador convencional con Windows 10/11 de 64 bits, Linux o macOS; 4 GB de RAM o más recomendados para Monte Carlo en paralelo.</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Ejecutable (Windows)</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SensorTrustFusion-1.0.0-win64.exe</w:t>
            </w:r>
            <w:r>
              <w:rPr>
                <w:rFonts w:eastAsia="" w:cs=""/>
                <w:kern w:val="0"/>
                <w:sz w:val="17"/>
                <w:szCs w:val="24"/>
                <w:lang w:val="en-US" w:eastAsia="zh-CN" w:bidi="ar-SA"/>
              </w:rPr>
              <w:t>, archivo único que no requiere instalar Python.</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Código fuente</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Python ≥ 3.10; NumPy, SciPy, pandas, Matplotlib, PyYAML, SALib, PySide6.</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Hardware externo</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se requiere.</w:t>
            </w:r>
          </w:p>
        </w:tc>
      </w:tr>
      <w:tr>
        <w:trPr/>
        <w:tc>
          <w:tcPr>
            <w:tcW w:w="245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Red</w:t>
            </w:r>
          </w:p>
        </w:tc>
        <w:tc>
          <w:tcPr>
            <w:tcW w:w="7174"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se requiere; todas las funciones operan sin conexión una vez instaladas las dependencias.</w:t>
            </w:r>
            <w:bookmarkStart w:id="4" w:name="requisitos-de-hardware-y-software"/>
            <w:bookmarkEnd w:id="4"/>
          </w:p>
        </w:tc>
      </w:tr>
    </w:tbl>
    <w:p>
      <w:pPr>
        <w:pStyle w:val="Heading2"/>
        <w:rPr/>
      </w:pPr>
      <w:bookmarkStart w:id="5" w:name="__RefHeading___Toc1888_1293274263"/>
      <w:bookmarkEnd w:id="5"/>
      <w:r>
        <w:rPr/>
        <w:t>2.2 Justificación de los requisitos</w:t>
      </w:r>
    </w:p>
    <w:p>
      <w:pPr>
        <w:pStyle w:val="FirstParagraph"/>
        <w:rPr/>
      </w:pPr>
      <w:r>
        <w:rPr/>
        <w:t>Python y su ecosistema científico (NumPy, SciPy, pandas, Matplotlib) ofrecen álgebra lineal, estadística y visualización maduras y abiertas; SALib aporta métodos de sensibilidad de referencia (Morris, Sobol); PySide6 proporciona una interfaz de escritorio multiplataforma. La restricción de no usar hardware es deliberada: el valor verdadero y el control total de las degradaciones solo son posibles en simulación, lo que hace los experimentos objetivos, repetibles y comparables. El ejecutable de Windows, generado con PyInstaller en un flujo de integración continua, reduce la barrera de instalación.</w:t>
      </w:r>
    </w:p>
    <w:p>
      <w:pPr>
        <w:pStyle w:val="Heading1"/>
        <w:rPr/>
      </w:pPr>
      <w:bookmarkStart w:id="6" w:name="__RefHeading___Toc1890_1293274263"/>
      <w:bookmarkStart w:id="7" w:name="X60585e44c6aad25d367e24737c82a6fe29d3527"/>
      <w:bookmarkEnd w:id="6"/>
      <w:r>
        <w:rPr/>
        <w:t>3. Fundamentos científicos y estado del arte</w:t>
      </w:r>
    </w:p>
    <w:p>
      <w:pPr>
        <w:pStyle w:val="Heading2"/>
        <w:rPr/>
      </w:pPr>
      <w:bookmarkStart w:id="8" w:name="__RefHeading___Toc1892_1293274263"/>
      <w:bookmarkStart w:id="9" w:name="contexto-y-problema-científico"/>
      <w:bookmarkEnd w:id="8"/>
      <w:r>
        <w:rPr/>
        <w:t>3.1 Contexto y problema científico</w:t>
      </w:r>
    </w:p>
    <w:p>
      <w:pPr>
        <w:pStyle w:val="FirstParagraph"/>
        <w:rPr/>
      </w:pPr>
      <w:r>
        <w:rPr/>
        <w:t>La fusión multisensor combina mediciones de varias fuentes para obtener estimaciones más exactas, completas y confiables que las de cualquier sensor individual. El marco probabilístico dominante para sistemas dinámicos es el filtro de Kalman y sus extensiones [1], [2]. Las revisiones del área identifican la imperfección de los datos (incertidumbre, sesgos, valores atípicos, datos en conflicto) como el reto central de la fusión [3]. Revisiones recientes en vehículos autónomos [4], [5] y en manufactura inteligente [6] muestran que el problema es transversal: la seguridad y la viabilidad de estos sistemas dependen del desempeño conjunto de los sensores, y ese desempeño cambia con el tiempo por envejecimiento, condiciones ambientales, fallos intermitentes y descalibración.</w:t>
      </w:r>
    </w:p>
    <w:p>
      <w:pPr>
        <w:pStyle w:val="BodyText"/>
        <w:rPr/>
      </w:pPr>
      <w:r>
        <w:rPr/>
        <w:t xml:space="preserve">Los estimadores óptimos (KF) y sus extensiones no lineales (EKF, UKF [7]) suponen que la covarianza del ruido de medición </w:t>
      </w:r>
      <w:r>
        <w:rPr/>
      </w:r>
      <m:oMath xmlns:m="http://schemas.openxmlformats.org/officeDocument/2006/math">
        <m:sSub>
          <m:e>
            <m:r>
              <w:rPr>
                <w:rFonts w:ascii="Cambria Math" w:hAnsi="Cambria Math"/>
              </w:rPr>
              <m:t xml:space="preserve">R</m:t>
            </m:r>
          </m:e>
          <m:sub>
            <m:r>
              <w:rPr>
                <w:rFonts w:ascii="Cambria Math" w:hAnsi="Cambria Math"/>
              </w:rPr>
              <m:t xml:space="preserve">i</m:t>
            </m:r>
          </m:sub>
        </m:sSub>
      </m:oMath>
      <w:r>
        <w:rPr/>
        <w:t xml:space="preserve"> de cada sensor es conocida y constante. Cuando un sensor se degrada de forma </w:t>
      </w:r>
      <w:r>
        <w:rPr>
          <w:b/>
          <w:bCs/>
        </w:rPr>
        <w:t>no estacionaria</w:t>
      </w:r>
      <w:r>
        <w:rPr/>
        <w:t xml:space="preserve"> (sesgo que aparece o crece, varianza que aumenta, deriva, congelamiento), esa hipótesis se viola y la estimación fusionada se deteriora, aunque los demás sensores funcionen correctamente. La pregunta científica que aborda SensorTrust Fusion es:</w:t>
      </w:r>
    </w:p>
    <w:p>
      <w:pPr>
        <w:pStyle w:val="BlockText"/>
        <w:rPr/>
      </w:pPr>
      <w:bookmarkStart w:id="10" w:name="contexto-y-problema-científico"/>
      <w:r>
        <w:rPr/>
        <w:t>¿Cómo estimar en línea la confiabilidad de cada sensor a partir de la evidencia estadística disponible (la innovación del filtro), de modo que la fusión reduzca la influencia de los sensores degradados, y cómo cuantificar de forma objetiva y reproducible el beneficio de hacerlo frente a las alternativas del estado del arte?</w:t>
      </w:r>
      <w:bookmarkEnd w:id="10"/>
    </w:p>
    <w:p>
      <w:pPr>
        <w:pStyle w:val="Heading2"/>
        <w:rPr/>
      </w:pPr>
      <w:bookmarkStart w:id="11" w:name="__RefHeading___Toc1894_1293274263"/>
      <w:bookmarkStart w:id="12" w:name="estado-del-arte"/>
      <w:bookmarkEnd w:id="11"/>
      <w:r>
        <w:rPr/>
        <w:t>3.2 Estado del arte</w:t>
      </w:r>
    </w:p>
    <w:p>
      <w:pPr>
        <w:pStyle w:val="FirstParagraph"/>
        <w:rPr/>
      </w:pPr>
      <w:r>
        <w:rPr>
          <w:b/>
          <w:bCs/>
        </w:rPr>
        <w:t>Filtrado adaptativo por covarianza.</w:t>
      </w:r>
      <w:r>
        <w:rPr/>
        <w:t xml:space="preserve"> El filtrado adaptativo estima en línea las estadísticas del ruido. Los enfoques clásicos son el estimador de Sage–Husa [8], los métodos de correlación y emparejamiento de covarianza de la innovación de Mehra [9] y su aplicación a navegación integrada [10]. Los enfoques bayesianos variacionales estiman conjuntamente estado y covarianzas [11], y se extendieron a covarianzas de proceso y de medición inexactas [12]. En la literatura reciente, [13] estima ambas covarianzas mediante suavizado de Kalman, y [14] combina estimadores adaptativos con detección de puntos de cambio para responder a variaciones abruptas del ruido. Estos métodos adaptan </w:t>
      </w:r>
      <w:r>
        <w:rPr>
          <w:b/>
          <w:bCs/>
        </w:rPr>
        <w:t>la magnitud de la covarianza</w:t>
      </w:r>
      <w:r>
        <w:rPr/>
        <w:t>. Sin embargo, un sesgo no es ruido de media cero: un estimador de covarianza lo interpreta como varianza adicional y, en general, no distingue entre sesgo y aumento de ruido.</w:t>
      </w:r>
    </w:p>
    <w:p>
      <w:pPr>
        <w:pStyle w:val="BodyText"/>
        <w:rPr/>
      </w:pPr>
      <w:r>
        <w:rPr>
          <w:b/>
          <w:bCs/>
        </w:rPr>
        <w:t>Detección y diagnóstico de fallos basados en residuos.</w:t>
      </w:r>
      <w:r>
        <w:rPr/>
        <w:t xml:space="preserve"> La innovación de un filtro consistente es blanca, de media cero y covarianza conocida. Por ello, las pruebas chi-cuadrado sobre residuos y sobre diferencias de estimaciones son mecanismos clásicos de detección de fallos en filtros de Kalman [15]. Las revisiones de diagnóstico y tolerancia a fallos distinguen enfoques basados en modelos, en señales y en datos [16]. La revisión sistemática reciente de [17] sobre sensores y sistemas de monitoreo señala como retos abiertos la detección de fallos incipientes y la validación comparativa de métodos. Entre los esquemas recientes de fusión tolerante a fallos se encuentran los filtros de múltiples modelos interactuantes para robots móviles [18]. Los trabajos de pronóstico de fallos [19] destacan la naturaleza progresiva de la degradación. Una compuerta chi-cuadrado sin memoria decide muestra a muestra y, por lo tanto, es poco sensible a degradaciones lentas.</w:t>
      </w:r>
    </w:p>
    <w:p>
      <w:pPr>
        <w:pStyle w:val="BodyText"/>
        <w:rPr/>
      </w:pPr>
      <w:r>
        <w:rPr>
          <w:b/>
          <w:bCs/>
        </w:rPr>
        <w:t>Fusión con correlaciones desconocidas.</w:t>
      </w:r>
      <w:r>
        <w:rPr/>
        <w:t xml:space="preserve"> Cuando se fusionan estimaciones con correlación cruzada desconocida, la intersección de covarianzas (CI) garantiza consistencia [20]. La revisión de [21] muestra que, un cuarto de siglo después, las correlaciones desconocidas siguen siendo un problema abierto. SensorTrust Fusion incluye CI como arquitectura de fusión a nivel de estimaciones, de modo que la confianza puede estudiarse también en ese esquema.</w:t>
      </w:r>
    </w:p>
    <w:p>
      <w:pPr>
        <w:pStyle w:val="BodyText"/>
        <w:rPr/>
      </w:pPr>
      <w:r>
        <w:rPr>
          <w:b/>
          <w:bCs/>
        </w:rPr>
        <w:t>Plataformas de software.</w:t>
      </w:r>
      <w:r>
        <w:rPr/>
        <w:t xml:space="preserve"> Existen marcos abiertos de seguimiento y estimación, como Stone Soup [22], que ofrecen componentes, simuladores y métricas de seguimiento; bibliotecas de filtros como FilterPy [23]; y productos comerciales como el Sensor Fusion and Tracking Toolbox [24]. En la documentación de estas herramientas no se identificó un entorno integrado que combine: (i) degradaciones no estacionarias con perfiles temporales y valor verdadero de los fallos; (ii) estimación de confianza por sensor; (iii) comparación de métodos sobre exactamente las mismas mediciones; y (iv) estudios Monte Carlo, de robustez y de sensibilidad global con trazabilidad criptográfica.</w:t>
      </w:r>
      <w:bookmarkEnd w:id="12"/>
    </w:p>
    <w:p>
      <w:pPr>
        <w:pStyle w:val="Heading2"/>
        <w:rPr/>
      </w:pPr>
      <w:bookmarkStart w:id="13" w:name="__RefHeading___Toc1896_1293274263"/>
      <w:bookmarkStart w:id="14" w:name="brecha-y-aporte-metodológico"/>
      <w:bookmarkEnd w:id="13"/>
      <w:r>
        <w:rPr/>
        <w:t>3.3 Brecha y aporte metodológico</w:t>
      </w:r>
    </w:p>
    <w:p>
      <w:pPr>
        <w:pStyle w:val="FirstParagraph"/>
        <w:rPr/>
      </w:pPr>
      <w:r>
        <w:rPr/>
        <w:t>De lo anterior se desprenden dos brechas:</w:t>
      </w:r>
    </w:p>
    <w:p>
      <w:pPr>
        <w:pStyle w:val="Compact"/>
        <w:numPr>
          <w:ilvl w:val="0"/>
          <w:numId w:val="8"/>
        </w:numPr>
        <w:rPr/>
      </w:pPr>
      <w:r>
        <w:rPr>
          <w:b/>
          <w:bCs/>
        </w:rPr>
        <w:t>Brecha metodológica.</w:t>
      </w:r>
      <w:r>
        <w:rPr/>
        <w:t xml:space="preserve"> Los métodos adaptativos de covarianza responden a la magnitud total de la innovación, y las compuertas chi-cuadrado a muestras individuales. Ninguno de los dos separa explícitamente la evidencia de </w:t>
      </w:r>
      <w:r>
        <w:rPr>
          <w:b/>
          <w:bCs/>
        </w:rPr>
        <w:t>sesgo</w:t>
      </w:r>
      <w:r>
        <w:rPr/>
        <w:t xml:space="preserve"> (primer momento) de la evidencia de </w:t>
      </w:r>
      <w:r>
        <w:rPr>
          <w:b/>
          <w:bCs/>
        </w:rPr>
        <w:t>dispersión</w:t>
      </w:r>
      <w:r>
        <w:rPr/>
        <w:t xml:space="preserve"> (segundo momento central) ni la acumula con una memoria estadística controlada.</w:t>
      </w:r>
    </w:p>
    <w:p>
      <w:pPr>
        <w:pStyle w:val="Compact"/>
        <w:numPr>
          <w:ilvl w:val="0"/>
          <w:numId w:val="1"/>
        </w:numPr>
        <w:rPr/>
      </w:pPr>
      <w:r>
        <w:rPr>
          <w:b/>
          <w:bCs/>
        </w:rPr>
        <w:t>Brecha experimental.</w:t>
      </w:r>
      <w:r>
        <w:rPr/>
        <w:t xml:space="preserve"> Evaluar métodos adaptativos bajo degradación requiere valor verdadero, control del instante, tipo, perfil y magnitud de los fallos, repetición exacta y estadística multi-corrida. Esto no es posible con sensores físicos, y construir esta infraestructura para cada estudio es costoso y dificulta la comparación entre trabajos.</w:t>
      </w:r>
    </w:p>
    <w:p>
      <w:pPr>
        <w:pStyle w:val="FirstParagraph"/>
        <w:rPr/>
      </w:pPr>
      <w:bookmarkStart w:id="15" w:name="brecha-y-aporte-metodológico"/>
      <w:r>
        <w:rPr/>
        <w:t>SensorTrust Fusion responde a ambas brechas. Implementa un estimador de confianza basado en los dos primeros momentos de la innovación y una plataforma experimental completa, reproducible y sin hardware, donde ese estimador y las alternativas del estado del arte se evalúan en igualdad de condiciones.</w:t>
      </w:r>
      <w:bookmarkEnd w:id="15"/>
    </w:p>
    <w:p>
      <w:pPr>
        <w:pStyle w:val="Heading2"/>
        <w:rPr/>
      </w:pPr>
      <w:bookmarkStart w:id="16" w:name="__RefHeading___Toc1898_1293274263"/>
      <w:bookmarkStart w:id="17" w:name="formulación-del-método-sensortrust"/>
      <w:bookmarkEnd w:id="16"/>
      <w:r>
        <w:rPr/>
        <w:t>3.4 Formulación del método SensorTrust</w:t>
      </w:r>
    </w:p>
    <w:p>
      <w:pPr>
        <w:pStyle w:val="FirstParagraph"/>
        <w:rPr/>
      </w:pPr>
      <w:r>
        <w:rPr/>
        <w:t xml:space="preserve">Para cada sensor </w:t>
      </w:r>
      <w:r>
        <w:rPr/>
      </w:r>
      <m:oMath xmlns:m="http://schemas.openxmlformats.org/officeDocument/2006/math">
        <m:r>
          <w:rPr>
            <w:rFonts w:ascii="Cambria Math" w:hAnsi="Cambria Math"/>
          </w:rPr>
          <m:t xml:space="preserve">i</m:t>
        </m:r>
      </m:oMath>
      <w:r>
        <w:rPr/>
        <w:t xml:space="preserve">, la innovación con respecto al estado a priori se estandariza con la covarianza </w:t>
      </w:r>
      <w:r>
        <w:rPr>
          <w:b/>
          <w:bCs/>
        </w:rPr>
        <w:t>nominal</w:t>
      </w:r>
      <w:r>
        <w:rPr/>
        <w:t>:</w:t>
      </w:r>
    </w:p>
    <w:p>
      <w:pPr>
        <w:pStyle w:val="BodyText"/>
        <w:jc w:val="center"/>
        <w:rPr/>
      </w:pPr>
      <w:r>
        <w:rPr/>
      </w:r>
      <m:oMathPara xmlns:m="http://schemas.openxmlformats.org/officeDocument/2006/math">
        <m:oMathParaPr>
          <m:jc m:val="center"/>
        </m:oMathParaPr>
        <m:oMath>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m:t>
              </m:r>
              <m:r>
                <w:rPr>
                  <w:rFonts w:ascii="Cambria Math" w:hAnsi="Cambria Math"/>
                </w:rPr>
                <m:t xml:space="preserve">1</m:t>
              </m:r>
            </m:sup>
          </m:sSubSup>
          <m:d>
            <m:dPr>
              <m:begChr m:val="("/>
              <m:endChr m:val=")"/>
            </m:dPr>
            <m:e>
              <m:sSub>
                <m:e>
                  <m:r>
                    <w:rPr>
                      <w:rFonts w:ascii="Cambria Math" w:hAnsi="Cambria Math"/>
                    </w:rPr>
                    <m:t xml:space="preserve">z</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z</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e>
          </m:d>
          <m:r>
            <w:rPr>
              <w:rFonts w:ascii="Cambria Math" w:hAnsi="Cambria Math"/>
            </w:rPr>
            <m:t xml:space="preserve">,</m:t>
          </m:r>
          <m:sSub>
            <m:e>
              <m:r>
                <w:rPr>
                  <w:rFonts w:ascii="Cambria Math" w:hAnsi="Cambria Math"/>
                </w:rPr>
                <m:t xml:space="preserve">S</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i</m:t>
              </m:r>
            </m:sub>
          </m:sSub>
          <m:sSub>
            <m:e>
              <m:r>
                <w:rPr>
                  <w:rFonts w:ascii="Cambria Math" w:hAnsi="Cambria Math"/>
                </w:rPr>
                <m:t xml:space="preserve">P</m:t>
              </m:r>
            </m:e>
            <m:sub>
              <m:r>
                <w:rPr>
                  <w:rFonts w:ascii="Cambria Math" w:hAnsi="Cambria Math"/>
                </w:rPr>
                <m:t xml:space="preserve">k</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sSubSup>
            <m:e>
              <m:r>
                <w:rPr>
                  <w:rFonts w:ascii="Cambria Math" w:hAnsi="Cambria Math"/>
                </w:rPr>
                <m:t xml:space="preserve">H</m:t>
              </m:r>
            </m:e>
            <m:sub>
              <m:r>
                <w:rPr>
                  <w:rFonts w:ascii="Cambria Math" w:hAnsi="Cambria Math"/>
                </w:rPr>
                <m:t xml:space="preserve">i</m:t>
              </m:r>
            </m:sub>
            <m:sup>
              <m:r>
                <w:rPr>
                  <w:rFonts w:ascii="Cambria Math" w:hAnsi="Cambria Math"/>
                </w:rPr>
                <m:t xml:space="preserve">T</m:t>
              </m:r>
            </m:sup>
          </m:sSubSup>
          <m: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L</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r>
            <w:rPr>
              <w:rFonts w:ascii="Cambria Math" w:hAnsi="Cambria Math"/>
            </w:rPr>
            <m:t xml:space="preserve">.</m:t>
          </m:r>
        </m:oMath>
      </m:oMathPara>
    </w:p>
    <w:p>
      <w:pPr>
        <w:pStyle w:val="FirstParagraph"/>
        <w:rPr/>
      </w:pPr>
      <w:r>
        <w:rPr/>
        <w:t xml:space="preserve">Bajo la hipótesis nominal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xml:space="preserve"> se cumple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r>
          <w:rPr>
            <w:rFonts w:ascii="Cambria Math" w:hAnsi="Cambria Math"/>
          </w:rPr>
          <m:t xml:space="preserve">=</m:t>
        </m:r>
        <m:r>
          <w:rPr>
            <w:rFonts w:ascii="Cambria Math" w:hAnsi="Cambria Math"/>
          </w:rPr>
          <m:t xml:space="preserve">0</m:t>
        </m:r>
      </m:oMath>
      <w:r>
        <w:rPr/>
        <w:t xml:space="preserve"> y </w:t>
      </w:r>
      <w:r>
        <w:rPr/>
      </w:r>
      <m:oMath xmlns:m="http://schemas.openxmlformats.org/officeDocument/2006/math">
        <m:r>
          <w:rPr>
            <w:rFonts w:ascii="Cambria Math" w:hAnsi="Cambria Math"/>
          </w:rPr>
          <m:t xml:space="preserve">E</m:t>
        </m:r>
        <m:d>
          <m:dPr>
            <m:begChr m:val="["/>
            <m:endChr m:val="]"/>
          </m:dPr>
          <m:e>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e>
        </m:d>
        <m:r>
          <w:rPr>
            <w:rFonts w:ascii="Cambria Math" w:hAnsi="Cambria Math"/>
          </w:rPr>
          <m:t xml:space="preserve">=</m:t>
        </m:r>
        <m:r>
          <w:rPr>
            <w:rFonts w:ascii="Cambria Math" w:hAnsi="Cambria Math"/>
          </w:rPr>
          <m:t xml:space="preserve">I</m:t>
        </m:r>
      </m:oMath>
      <w:r>
        <w:rPr/>
        <w:t xml:space="preserve">. Un sesgo desplaza el primer momento; un aumento de ruido incrementa el segundo momento sin desplazar la media. Los momentos se estiman en línea (EWMA, ventana deslizante o media recursiva), con un número efectivo de muestras </w:t>
      </w:r>
      <w:r>
        <w:rPr/>
      </w:r>
      <m:oMath xmlns:m="http://schemas.openxmlformats.org/officeDocument/2006/math">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oMath>
      <w:r>
        <w:rPr/>
        <w:t>:</w:t>
      </w:r>
    </w:p>
    <w:p>
      <w:pPr>
        <w:pStyle w:val="BodyText"/>
        <w:jc w:val="center"/>
        <w:rPr/>
      </w:pPr>
      <w:r>
        <w:rPr/>
      </w:r>
      <m:oMathPara xmlns:m="http://schemas.openxmlformats.org/officeDocument/2006/math">
        <m:oMathParaPr>
          <m:jc m:val="center"/>
        </m:oMathParaPr>
        <m:oMath>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r>
            <w:rPr>
              <w:rFonts w:ascii="Cambria Math" w:hAnsi="Cambria Math"/>
            </w:rPr>
            <m:t xml:space="preserve">λ</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λ</m:t>
          </m:r>
          <m:r>
            <w:rPr>
              <w:rFonts w:ascii="Cambria Math" w:hAnsi="Cambria Math"/>
            </w:rPr>
            <m:t xml:space="preserve">)</m:t>
          </m:r>
          <m:f>
            <m:num>
              <m:sSubSup>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T</m:t>
                  </m:r>
                </m:sup>
              </m:sSubSup>
              <m:sSub>
                <m:e>
                  <m:r>
                    <w:rPr>
                      <w:rFonts w:ascii="Cambria Math" w:hAnsi="Cambria Math"/>
                    </w:rPr>
                    <m:t xml:space="preserve">ε</m:t>
                  </m:r>
                </m:e>
                <m:sub>
                  <m:r>
                    <w:rPr>
                      <w:rFonts w:ascii="Cambria Math" w:hAnsi="Cambria Math"/>
                    </w:rPr>
                    <m:t xml:space="preserve">i</m:t>
                  </m:r>
                  <m:r>
                    <w:rPr>
                      <w:rFonts w:ascii="Cambria Math" w:hAnsi="Cambria Math"/>
                    </w:rPr>
                    <m:t xml:space="preserve">,</m:t>
                  </m:r>
                  <m:r>
                    <w:rPr>
                      <w:rFonts w:ascii="Cambria Math" w:hAnsi="Cambria Math"/>
                    </w:rPr>
                    <m:t xml:space="preserve">k</m:t>
                  </m:r>
                </m:sub>
              </m:sSub>
            </m:num>
            <m:den>
              <m:r>
                <w:rPr>
                  <w:rFonts w:ascii="Cambria Math" w:hAnsi="Cambria Math"/>
                </w:rPr>
                <m:t xml:space="preserve">m</m:t>
              </m:r>
            </m:den>
          </m:f>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up>
              <m:r>
                <w:rPr>
                  <w:rFonts w:ascii="Cambria Math" w:hAnsi="Cambria Math"/>
                </w:rPr>
                <m:t xml:space="preserve">2</m:t>
              </m:r>
            </m:sup>
          </m:sSubSup>
          <m:r>
            <w:rPr>
              <w:rFonts w:ascii="Cambria Math" w:hAnsi="Cambria Math"/>
            </w:rPr>
            <m:t xml:space="preserve">=</m:t>
          </m:r>
          <m:sSub>
            <m:e>
              <m:acc>
                <m:accPr>
                  <m:chr m:val="^"/>
                </m:accPr>
                <m:e>
                  <m:r>
                    <w:rPr>
                      <w:rFonts w:ascii="Cambria Math" w:hAnsi="Cambria Math"/>
                    </w:rPr>
                    <m:t xml:space="preserve">m</m:t>
                  </m:r>
                </m:e>
              </m:acc>
            </m:e>
            <m:sub>
              <m:r>
                <w:rPr>
                  <w:rFonts w:ascii="Cambria Math" w:hAnsi="Cambria Math"/>
                </w:rPr>
                <m:t xml:space="preserve">2</m:t>
              </m:r>
              <m: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k</m:t>
              </m:r>
            </m:sub>
          </m:sSub>
          <m:r>
            <w:rPr>
              <w:rFonts w:ascii="Cambria Math" w:hAnsi="Cambria Math"/>
            </w:rPr>
            <m:t xml:space="preserve">−</m:t>
          </m:r>
          <m:f>
            <m:num>
              <m:sSup>
                <m:e>
                  <m:d>
                    <m:dPr>
                      <m:begChr m:val="‖"/>
                      <m:endChr m:val="‖"/>
                    </m:dPr>
                    <m:e>
                      <m:sSub>
                        <m:e>
                          <m:acc>
                            <m:accPr>
                              <m:chr m:val="^"/>
                            </m:accPr>
                            <m:e>
                              <m:r>
                                <w:rPr>
                                  <w:rFonts w:ascii="Cambria Math" w:hAnsi="Cambria Math"/>
                                </w:rPr>
                                <m:t xml:space="preserve">μ</m:t>
                              </m:r>
                            </m:e>
                          </m:acc>
                        </m:e>
                        <m:sub>
                          <m:r>
                            <w:rPr>
                              <w:rFonts w:ascii="Cambria Math" w:hAnsi="Cambria Math"/>
                            </w:rPr>
                            <m:t xml:space="preserve">i</m:t>
                          </m:r>
                          <m:r>
                            <w:rPr>
                              <w:rFonts w:ascii="Cambria Math" w:hAnsi="Cambria Math"/>
                            </w:rPr>
                            <m:t xml:space="preserve">,</m:t>
                          </m:r>
                          <m:r>
                            <w:rPr>
                              <w:rFonts w:ascii="Cambria Math" w:hAnsi="Cambria Math"/>
                            </w:rPr>
                            <m:t xml:space="preserve">k</m:t>
                          </m:r>
                        </m:sub>
                      </m:sSub>
                    </m:e>
                  </m:d>
                </m:e>
                <m:sup>
                  <m:r>
                    <w:rPr>
                      <w:rFonts w:ascii="Cambria Math" w:hAnsi="Cambria Math"/>
                    </w:rPr>
                    <m:t xml:space="preserve">2</m:t>
                  </m:r>
                </m:sup>
              </m:sSup>
            </m:num>
            <m:den>
              <m:r>
                <w:rPr>
                  <w:rFonts w:ascii="Cambria Math" w:hAnsi="Cambria Math"/>
                </w:rPr>
                <m:t xml:space="preserve">m</m:t>
              </m:r>
            </m:den>
          </m:f>
          <m:r>
            <w:rPr>
              <w:rFonts w:ascii="Cambria Math" w:hAnsi="Cambria Math"/>
            </w:rPr>
            <m:t xml:space="preserve">.</m:t>
          </m:r>
        </m:oMath>
      </m:oMathPara>
    </w:p>
    <w:p>
      <w:pPr>
        <w:pStyle w:val="FirstParagraph"/>
        <w:rPr/>
      </w:pPr>
      <w:r>
        <w:rPr/>
        <w:t xml:space="preserve">Los excesos sobre zonas muertas estadísticas (expresadas en desviaciones estándar de los estimadores bajo </w:t>
      </w:r>
      <w:r>
        <w:rPr/>
      </w:r>
      <m:oMath xmlns:m="http://schemas.openxmlformats.org/officeDocument/2006/math">
        <m:sSub>
          <m:e>
            <m:r>
              <w:rPr>
                <w:rFonts w:ascii="Cambria Math" w:hAnsi="Cambria Math"/>
              </w:rPr>
              <m:t xml:space="preserve">H</m:t>
            </m:r>
          </m:e>
          <m:sub>
            <m:r>
              <w:rPr>
                <w:rFonts w:ascii="Cambria Math" w:hAnsi="Cambria Math"/>
              </w:rPr>
              <m:t xml:space="preserve">0</m:t>
            </m:r>
          </m:sub>
        </m:sSub>
      </m:oMath>
      <w:r>
        <w:rPr/>
        <w:t>) se transforman en confianza:</w:t>
      </w:r>
    </w:p>
    <w:p>
      <w:pPr>
        <w:pStyle w:val="BodyText"/>
        <w:jc w:val="center"/>
        <w:rPr/>
      </w:pPr>
      <w:r>
        <w:rPr/>
      </w:r>
      <m:oMathPara xmlns:m="http://schemas.openxmlformats.org/officeDocument/2006/math">
        <m:oMathParaPr>
          <m:jc m:val="center"/>
        </m:oMathParaPr>
        <m:oMath>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f>
                <m:fPr>
                  <m:type m:val="lin"/>
                </m:fPr>
                <m:num>
                  <m:d>
                    <m:dPr>
                      <m:begChr m:val="‖"/>
                      <m:endChr m:val="‖"/>
                    </m:dPr>
                    <m:e>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e>
                  </m:d>
                </m:num>
                <m:den>
                  <m:rad>
                    <m:radPr>
                      <m:degHide m:val="1"/>
                    </m:radPr>
                    <m:deg/>
                    <m:e>
                      <m:r>
                        <w:rPr>
                          <w:rFonts w:ascii="Cambria Math" w:hAnsi="Cambria Math"/>
                        </w:rPr>
                        <m:t xml:space="preserve">m</m:t>
                      </m:r>
                    </m:e>
                  </m:rad>
                </m:den>
              </m:f>
              <m:r>
                <w:rPr>
                  <w:rFonts w:ascii="Cambria Math" w:hAnsi="Cambria Math"/>
                </w:rPr>
                <m:t xml:space="preserve">−</m:t>
              </m:r>
              <m:f>
                <m:fPr>
                  <m:type m:val="lin"/>
                </m:fPr>
                <m:num>
                  <m:sSub>
                    <m:e>
                      <m:r>
                        <w:rPr>
                          <w:rFonts w:ascii="Cambria Math" w:hAnsi="Cambria Math"/>
                        </w:rPr>
                        <m:t xml:space="preserve">γ</m:t>
                      </m:r>
                    </m:e>
                    <m:sub>
                      <m:r>
                        <w:rPr>
                          <w:rFonts w:ascii="Cambria Math" w:hAnsi="Cambria Math"/>
                        </w:rPr>
                        <m:t xml:space="preserve">1</m:t>
                      </m:r>
                    </m:sub>
                  </m:sSub>
                </m:num>
                <m:den>
                  <m:rad>
                    <m:radPr>
                      <m:degHide m:val="1"/>
                    </m:radPr>
                    <m:deg/>
                    <m:e>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e>
                  </m:rad>
                </m:den>
              </m:f>
            </m:e>
          </m:d>
          <m:r>
            <w:rPr>
              <w:rFonts w:ascii="Cambria Math" w:hAnsi="Cambria Math"/>
            </w:rPr>
            <m:t xml:space="preserve">,</m:t>
          </m:r>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sSubSup>
                <m:e>
                  <m:acc>
                    <m:accPr>
                      <m:chr m:val="^"/>
                    </m:accPr>
                    <m:e>
                      <m:r>
                        <w:rPr>
                          <w:rFonts w:ascii="Cambria Math" w:hAnsi="Cambria Math"/>
                        </w:rPr>
                        <m:t xml:space="preserve">s</m:t>
                      </m:r>
                    </m:e>
                  </m:acc>
                </m:e>
                <m:sub>
                  <m:r>
                    <w:rPr>
                      <w:rFonts w:ascii="Cambria Math" w:hAnsi="Cambria Math"/>
                    </w:rPr>
                    <m:t xml:space="preserve">i</m:t>
                  </m:r>
                </m:sub>
                <m:sup>
                  <m:r>
                    <w:rPr>
                      <w:rFonts w:ascii="Cambria Math" w:hAnsi="Cambria Math"/>
                    </w:rPr>
                    <m:t xml:space="preserve">2</m:t>
                  </m:r>
                </m:sup>
              </m:sSubSup>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γ</m:t>
                  </m:r>
                </m:e>
                <m:sub>
                  <m:r>
                    <w:rPr>
                      <w:rFonts w:ascii="Cambria Math" w:hAnsi="Cambria Math"/>
                    </w:rPr>
                    <m:t xml:space="preserve">2</m:t>
                  </m:r>
                </m:sub>
              </m:sSub>
              <m:rad>
                <m:radPr>
                  <m:degHide m:val="1"/>
                </m:radPr>
                <m:deg/>
                <m:e>
                  <m:f>
                    <m:fPr>
                      <m:type m:val="lin"/>
                    </m:fPr>
                    <m:num>
                      <m:r>
                        <w:rPr>
                          <w:rFonts w:ascii="Cambria Math" w:hAnsi="Cambria Math"/>
                        </w:rPr>
                        <m:t xml:space="preserve">2</m:t>
                      </m:r>
                    </m:num>
                    <m:den>
                      <m:sSub>
                        <m:e>
                          <m:r>
                            <w:rPr>
                              <w:rFonts w:ascii="Cambria Math" w:hAnsi="Cambria Math"/>
                            </w:rPr>
                            <m:t xml:space="preserve">N</m:t>
                          </m:r>
                        </m:e>
                        <m:sub>
                          <m:r>
                            <w:rPr>
                              <w:rFonts w:ascii="Cambria Math" w:hAnsi="Cambria Math"/>
                            </w:rPr>
                            <m:t xml:space="preserve">e</m:t>
                          </m:r>
                          <m:r>
                            <w:rPr>
                              <w:rFonts w:ascii="Cambria Math" w:hAnsi="Cambria Math"/>
                            </w:rPr>
                            <m:t xml:space="preserve">f</m:t>
                          </m:r>
                          <m:r>
                            <w:rPr>
                              <w:rFonts w:ascii="Cambria Math" w:hAnsi="Cambria Math"/>
                            </w:rPr>
                            <m:t xml:space="preserve">f</m:t>
                          </m:r>
                        </m:sub>
                      </m:sSub>
                    </m:den>
                  </m:f>
                </m:e>
              </m:rad>
            </m:e>
          </m:d>
          <m:r>
            <w:rPr>
              <w:rFonts w:ascii="Cambria Math" w:hAnsi="Cambria Math"/>
            </w:rPr>
            <m:t xml:space="preserve">,</m:t>
          </m:r>
        </m:oMath>
      </m:oMathPara>
    </w:p>
    <w:p>
      <w:pPr>
        <w:pStyle w:val="FirstParagraph"/>
        <w:jc w:val="center"/>
        <w:rPr/>
      </w:pPr>
      <w:r>
        <w:rPr/>
      </w:r>
      <m:oMathPara xmlns:m="http://schemas.openxmlformats.org/officeDocument/2006/math">
        <m:oMathParaPr>
          <m:jc m:val="center"/>
        </m:oMathParaPr>
        <m:oMath>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sSubSup>
            <m:e>
              <m:r>
                <w:rPr>
                  <w:rFonts w:ascii="Cambria Math" w:hAnsi="Cambria Math"/>
                </w:rPr>
                <m:t xml:space="preserve">ρ</m:t>
              </m:r>
            </m:e>
            <m:sub>
              <m:r>
                <w:rPr>
                  <w:rFonts w:ascii="Cambria Math" w:hAnsi="Cambria Math"/>
                </w:rPr>
                <m:t xml:space="preserve">i</m:t>
              </m:r>
            </m:sub>
            <m:sup>
              <m:r>
                <w:rPr>
                  <w:rFonts w:ascii="Cambria Math" w:hAnsi="Cambria Math"/>
                </w:rPr>
                <m:t xml:space="preserve">0</m:t>
              </m:r>
            </m:sup>
          </m:sSubSup>
          <m:r>
            <w:rPr>
              <w:rFonts w:ascii="Cambria Math" w:hAnsi="Cambria Math"/>
            </w:rPr>
            <m:t xml:space="preserve">exp</m:t>
          </m:r>
          <m:d>
            <m:dPr>
              <m:begChr m:val="("/>
              <m:endChr m:val=")"/>
            </m:dPr>
            <m:e>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1</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β</m:t>
                      </m:r>
                    </m:e>
                    <m:sub>
                      <m:r>
                        <w:rPr>
                          <w:rFonts w:ascii="Cambria Math" w:hAnsi="Cambria Math"/>
                        </w:rPr>
                        <m:t xml:space="preserve">1</m:t>
                      </m:r>
                    </m:sub>
                  </m:sSub>
                </m:den>
              </m:f>
              <m:r>
                <w:rPr>
                  <w:rFonts w:ascii="Cambria Math" w:hAnsi="Cambria Math"/>
                </w:rPr>
                <m:t xml:space="preserve">−</m:t>
              </m:r>
              <m:f>
                <m:fPr>
                  <m:type m:val="lin"/>
                </m:fPr>
                <m:num>
                  <m:sSub>
                    <m:e>
                      <m:r>
                        <w:rPr>
                          <w:rFonts w:ascii="Cambria Math" w:hAnsi="Cambria Math"/>
                        </w:rPr>
                        <m:t xml:space="preserve">d</m:t>
                      </m:r>
                    </m:e>
                    <m:sub>
                      <m:r>
                        <w:rPr>
                          <w:rFonts w:ascii="Cambria Math" w:hAnsi="Cambria Math"/>
                        </w:rPr>
                        <m:t xml:space="preserve">2</m:t>
                      </m:r>
                      <m:r>
                        <w:rPr>
                          <w:rFonts w:ascii="Cambria Math" w:hAnsi="Cambria Math"/>
                        </w:rPr>
                        <m:t xml:space="preserve">,</m:t>
                      </m:r>
                      <m:r>
                        <w:rPr>
                          <w:rFonts w:ascii="Cambria Math" w:hAnsi="Cambria Math"/>
                        </w:rPr>
                        <m:t xml:space="preserve">i</m:t>
                      </m:r>
                    </m:sub>
                  </m:sSub>
                </m:num>
                <m:den>
                  <m:sSub>
                    <m:e>
                      <m:r>
                        <w:rPr>
                          <w:rFonts w:ascii="Cambria Math" w:hAnsi="Cambria Math"/>
                        </w:rPr>
                        <m:t xml:space="preserve">β</m:t>
                      </m:r>
                    </m:e>
                    <m:sub>
                      <m:r>
                        <w:rPr>
                          <w:rFonts w:ascii="Cambria Math" w:hAnsi="Cambria Math"/>
                        </w:rPr>
                        <m:t xml:space="preserve">2</m:t>
                      </m:r>
                    </m:sub>
                  </m:sSub>
                </m:den>
              </m:f>
            </m:e>
          </m:d>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η</m:t>
          </m:r>
          <m:d>
            <m:dPr>
              <m:begChr m:val="["/>
              <m:endChr m:val="]"/>
            </m:dPr>
            <m:e>
              <m:sSub>
                <m:e>
                  <m:acc>
                    <m:accPr>
                      <m:chr m:val="~"/>
                    </m:accPr>
                    <m:e>
                      <m:r>
                        <w:rPr>
                          <w:rFonts w:ascii="Cambria Math" w:hAnsi="Cambria Math"/>
                        </w:rPr>
                        <m:t xml:space="preserve">T</m:t>
                      </m:r>
                    </m:e>
                  </m:acc>
                </m:e>
                <m:sub>
                  <m:r>
                    <w:rPr>
                      <w:rFonts w:ascii="Cambria Math" w:hAnsi="Cambria Math"/>
                    </w:rPr>
                    <m:t xml:space="preserve">i</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i</m:t>
                  </m:r>
                </m:sub>
              </m:sSub>
              <m: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1</m:t>
              </m:r>
              <m:r>
                <w:rPr>
                  <w:rFonts w:ascii="Cambria Math" w:hAnsi="Cambria Math"/>
                </w:rPr>
                <m:t xml:space="preserve">)</m:t>
              </m:r>
            </m:e>
          </m:d>
          <m:r>
            <w:rPr>
              <w:rFonts w:ascii="Cambria Math" w:hAnsi="Cambria Math"/>
            </w:rPr>
            <m:t xml:space="preserve">,</m:t>
          </m:r>
        </m:oMath>
      </m:oMathPara>
    </w:p>
    <w:p>
      <w:pPr>
        <w:pStyle w:val="FirstParagraph"/>
        <w:rPr/>
      </w:pPr>
      <w:r>
        <w:rPr/>
        <w:t xml:space="preserve">con </w:t>
      </w:r>
      <w:r>
        <w:rPr/>
      </w:r>
      <m:oMath xmlns:m="http://schemas.openxmlformats.org/officeDocument/2006/math">
        <m:r>
          <w:rPr>
            <w:rFonts w:ascii="Cambria Math" w:hAnsi="Cambria Math"/>
          </w:rPr>
          <m:t xml:space="preserve">η</m:t>
        </m:r>
      </m:oMath>
      <w:r>
        <w:rPr/>
        <w:t xml:space="preserve"> asimétrico: rápido al perder confianza y lento al recuperarla. </w:t>
      </w:r>
      <w:r>
        <w:rPr/>
      </w:r>
      <m:oMath xmlns:m="http://schemas.openxmlformats.org/officeDocument/2006/math">
        <m:sSubSup>
          <m:e>
            <m:acc>
              <m:accPr>
                <m:chr m:val="^"/>
              </m:accPr>
              <m:e>
                <m:r>
                  <w:rPr>
                    <w:rFonts w:ascii="Cambria Math" w:hAnsi="Cambria Math"/>
                  </w:rPr>
                  <m:t xml:space="preserve">μ</m:t>
                </m:r>
              </m:e>
            </m:acc>
          </m:e>
          <m:sub>
            <m:r>
              <w:rPr>
                <w:rFonts w:ascii="Cambria Math" w:hAnsi="Cambria Math"/>
              </w:rPr>
              <m:t xml:space="preserve">i</m:t>
            </m:r>
          </m:sub>
          <m:sup>
            <m:r>
              <w:rPr>
                <w:rFonts w:ascii="Cambria Math" w:hAnsi="Cambria Math"/>
              </w:rPr>
              <m:t xml:space="preserve">c</m:t>
            </m:r>
          </m:sup>
        </m:sSubSup>
      </m:oMath>
      <w:r>
        <w:rPr/>
        <w:t xml:space="preserve"> es la media referida a la mediana de los sensores redundantes confiables (referencia de consenso). Esta referencia evita atribuir erróneamente el fallo cuando el sensor degradado domina la estimación fusionada. La confianza se incorpora a la fusión inflando la covarianza de medición:</w:t>
      </w:r>
    </w:p>
    <w:p>
      <w:pPr>
        <w:pStyle w:val="BodyText"/>
        <w:jc w:val="center"/>
        <w:rPr/>
      </w:pPr>
      <w:r>
        <w:rPr/>
      </w:r>
      <m:oMathPara xmlns:m="http://schemas.openxmlformats.org/officeDocument/2006/math">
        <m:oMathParaPr>
          <m:jc m:val="center"/>
        </m:oMathParaPr>
        <m:oMath>
          <m:sSubSup>
            <m:e>
              <m:r>
                <w:rPr>
                  <w:rFonts w:ascii="Cambria Math" w:hAnsi="Cambria Math"/>
                </w:rPr>
                <m:t xml:space="preserve">R</m:t>
              </m:r>
            </m:e>
            <m:sub>
              <m:r>
                <w:rPr>
                  <w:rFonts w:ascii="Cambria Math" w:hAnsi="Cambria Math"/>
                </w:rPr>
                <m:t xml:space="preserve">i</m:t>
              </m:r>
            </m:sub>
            <m:sup>
              <m:r>
                <w:rPr>
                  <w:rFonts w:ascii="Cambria Math" w:hAnsi="Cambria Math"/>
                </w:rPr>
                <m:t xml:space="preserve">e</m:t>
              </m:r>
              <m:r>
                <w:rPr>
                  <w:rFonts w:ascii="Cambria Math" w:hAnsi="Cambria Math"/>
                </w:rPr>
                <m:t xml:space="preserve">f</m:t>
              </m:r>
              <m:r>
                <w:rPr>
                  <w:rFonts w:ascii="Cambria Math" w:hAnsi="Cambria Math"/>
                </w:rPr>
                <m:t xml:space="preserve">f</m:t>
              </m:r>
            </m:sup>
          </m:sSubSup>
          <m:r>
            <w:rPr>
              <w:rFonts w:ascii="Cambria Math" w:hAnsi="Cambria Math"/>
            </w:rPr>
            <m:t xml:space="preserve">=</m:t>
          </m:r>
          <m:f>
            <m:num>
              <m:sSub>
                <m:e>
                  <m:r>
                    <w:rPr>
                      <w:rFonts w:ascii="Cambria Math" w:hAnsi="Cambria Math"/>
                    </w:rPr>
                    <m:t xml:space="preserve">R</m:t>
                  </m:r>
                </m:e>
                <m:sub>
                  <m:r>
                    <w:rPr>
                      <w:rFonts w:ascii="Cambria Math" w:hAnsi="Cambria Math"/>
                    </w:rPr>
                    <m:t xml:space="preserve">i</m:t>
                  </m:r>
                </m:sub>
              </m:sSub>
            </m:num>
            <m:den>
              <m:r>
                <w:rPr>
                  <w:rFonts w:ascii="Cambria Math" w:hAnsi="Cambria Math"/>
                </w:rPr>
                <m:t xml:space="preserve">max</m:t>
              </m:r>
              <m:d>
                <m:dPr>
                  <m:begChr m:val="("/>
                  <m:endChr m:val=")"/>
                </m:dPr>
                <m:e>
                  <m:sSub>
                    <m:e>
                      <m:r>
                        <w:rPr>
                          <w:rFonts w:ascii="Cambria Math" w:hAnsi="Cambria Math"/>
                        </w:rPr>
                        <m:t xml:space="preserve">T</m:t>
                      </m:r>
                    </m:e>
                    <m:sub>
                      <m:r>
                        <w:rPr>
                          <w:rFonts w:ascii="Cambria Math" w:hAnsi="Cambria Math"/>
                        </w:rPr>
                        <m:t xml:space="preserve">m</m:t>
                      </m:r>
                      <m:r>
                        <w:rPr>
                          <w:rFonts w:ascii="Cambria Math" w:hAnsi="Cambria Math"/>
                        </w:rPr>
                        <m:t xml:space="preserve">i</m:t>
                      </m:r>
                      <m:r>
                        <w:rPr>
                          <w:rFonts w:ascii="Cambria Math" w:hAnsi="Cambria Math"/>
                        </w:rPr>
                        <m:t xml:space="preserve">n</m:t>
                      </m:r>
                    </m:sub>
                  </m:sSub>
                  <m:r>
                    <w:rPr>
                      <w:rFonts w:ascii="Cambria Math" w:hAnsi="Cambria Math"/>
                    </w:rPr>
                    <m:t xml:space="preserve">,</m:t>
                  </m:r>
                  <m:f>
                    <m:fPr>
                      <m:type m:val="lin"/>
                    </m:fPr>
                    <m:num>
                      <m:sSub>
                        <m:e>
                          <m:r>
                            <w:rPr>
                              <w:rFonts w:ascii="Cambria Math" w:hAnsi="Cambria Math"/>
                            </w:rPr>
                            <m:t xml:space="preserve">T</m:t>
                          </m:r>
                        </m:e>
                        <m:sub>
                          <m:r>
                            <w:rPr>
                              <w:rFonts w:ascii="Cambria Math" w:hAnsi="Cambria Math"/>
                            </w:rPr>
                            <m:t xml:space="preserve">i</m:t>
                          </m:r>
                        </m:sub>
                      </m:sSub>
                    </m:num>
                    <m:den>
                      <m:limLow>
                        <m:e>
                          <m:r>
                            <w:rPr>
                              <w:rFonts w:ascii="Cambria Math" w:hAnsi="Cambria Math"/>
                            </w:rPr>
                            <m:t xml:space="preserve">max</m:t>
                          </m:r>
                        </m:e>
                        <m:lim>
                          <m:r>
                            <w:rPr>
                              <w:rFonts w:ascii="Cambria Math" w:hAnsi="Cambria Math"/>
                            </w:rPr>
                            <m:t xml:space="preserve">j</m:t>
                          </m:r>
                        </m:lim>
                      </m:limLow>
                    </m:den>
                  </m:f>
                  <m:sSub>
                    <m:e>
                      <m:r>
                        <w:rPr>
                          <w:rFonts w:ascii="Cambria Math" w:hAnsi="Cambria Math"/>
                        </w:rPr>
                        <m:t xml:space="preserve">T</m:t>
                      </m:r>
                    </m:e>
                    <m:sub>
                      <m:r>
                        <w:rPr>
                          <w:rFonts w:ascii="Cambria Math" w:hAnsi="Cambria Math"/>
                        </w:rPr>
                        <m:t xml:space="preserve">j</m:t>
                      </m:r>
                    </m:sub>
                  </m:sSub>
                </m:e>
              </m:d>
            </m:den>
          </m:f>
          <m:r>
            <w:rPr>
              <w:rFonts w:ascii="Cambria Math" w:hAnsi="Cambria Math"/>
            </w:rPr>
            <m:t xml:space="preserve">.</m:t>
          </m:r>
        </m:oMath>
      </m:oMathPara>
    </w:p>
    <w:p>
      <w:pPr>
        <w:pStyle w:val="FirstParagraph"/>
        <w:rPr/>
      </w:pPr>
      <w:bookmarkStart w:id="18" w:name="formulación-del-método-sensortrust"/>
      <w:r>
        <w:rPr/>
        <w:t>De este modo, un filtro de Kalman, un EKF, un UKF o una fusión por intersección de covarianzas se convierten en su versión «SensorTrust» sin modificar su estructura. El Manual Técnico documenta la formulación completa, la compuerta de innovación y el detector de degradación basado en pruebas chi-cuadrado sobre los mismos momentos.</w:t>
      </w:r>
      <w:bookmarkEnd w:id="18"/>
    </w:p>
    <w:p>
      <w:pPr>
        <w:pStyle w:val="Heading2"/>
        <w:rPr/>
      </w:pPr>
      <w:bookmarkStart w:id="19" w:name="__RefHeading___Toc1900_1293274263"/>
      <w:bookmarkEnd w:id="19"/>
      <w:r>
        <w:rPr/>
        <w:t>3.5 Hipótesis que el software permite contrastar</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4816"/>
        <w:gridCol w:w="4815"/>
      </w:tblGrid>
      <w:tr>
        <w:trPr>
          <w:tblHeader w:val="true"/>
        </w:trPr>
        <w:tc>
          <w:tcPr>
            <w:tcW w:w="481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Hipótesis</w:t>
            </w:r>
          </w:p>
        </w:tc>
        <w:tc>
          <w:tcPr>
            <w:tcW w:w="481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Diseño experimental en SensorTrust Fusion</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H1. La confianza basada en los dos primeros momentos reduce el error de estimación frente al KF nominal bajo sesgo, deriva o congelamiento de un sensor.</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Benchmarks ST-BENCH-02 a 12 con los mismos datos para todos los métodos; Monte Carlo con pruebas pareadas de Wilcoxon y corrección de Holm.</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H2. El segundo momento central aporta información que el primero no contiene (aumento de varianza sin sesgo).</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Ablaciones «solo primer momento» y «solo segundo momento»; Monte Carlo de ablación con muestreo por hipercubo latino.</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H3. La referencia de consenso evita la atribución errónea del fallo cuando el sensor degradado es el más preciso.</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ST-BENCH-16 con y sin consenso.</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H4. Existe una severidad tolerable de la degradación a partir de la cual cada método incumple una especificación.</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Envolventes y mapas de robustez y barridos paramétricos.</w:t>
            </w:r>
          </w:p>
        </w:tc>
      </w:tr>
      <w:tr>
        <w:trPr/>
        <w:tc>
          <w:tcPr>
            <w:tcW w:w="481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H5. El desempeño es más sensible a unos parámetros (severidad, ruido, escala de confianza) que a otros.</w:t>
            </w:r>
          </w:p>
        </w:tc>
        <w:tc>
          <w:tcPr>
            <w:tcW w:w="481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Análisis de sensibilidad global de Morris y de Sobol [25]–[28].</w:t>
            </w:r>
            <w:bookmarkStart w:id="20" w:name="X7519f453fe99361ce2c87eb0e38bc54105bbcee"/>
            <w:bookmarkEnd w:id="20"/>
          </w:p>
        </w:tc>
      </w:tr>
    </w:tbl>
    <w:p>
      <w:pPr>
        <w:pStyle w:val="Heading2"/>
        <w:rPr/>
      </w:pPr>
      <w:bookmarkStart w:id="21" w:name="__RefHeading___Toc1902_1293274263"/>
      <w:bookmarkEnd w:id="21"/>
      <w:r>
        <w:rPr/>
        <w:t>3.6 Método experimental</w:t>
      </w:r>
    </w:p>
    <w:p>
      <w:pPr>
        <w:pStyle w:val="FirstParagraph"/>
        <w:rPr/>
      </w:pPr>
      <w:r>
        <w:rPr/>
        <w:t>El rigor experimental de la plataforma se apoya en prácticas establecidas:</w:t>
      </w:r>
    </w:p>
    <w:p>
      <w:pPr>
        <w:pStyle w:val="Compact"/>
        <w:numPr>
          <w:ilvl w:val="0"/>
          <w:numId w:val="2"/>
        </w:numPr>
        <w:rPr/>
      </w:pPr>
      <w:r>
        <w:rPr>
          <w:b/>
          <w:bCs/>
        </w:rPr>
        <w:t>Valor verdadero y separación de información.</w:t>
      </w:r>
      <w:r>
        <w:rPr/>
        <w:t xml:space="preserve"> El valor verdadero se genera de forma independiente y nunca se entrega a los estimadores. Los métodos oráculo (R verdadera, mejor sensor) están etiquetados explícitamente y sirven como cotas de referencia.</w:t>
      </w:r>
    </w:p>
    <w:p>
      <w:pPr>
        <w:pStyle w:val="Compact"/>
        <w:numPr>
          <w:ilvl w:val="0"/>
          <w:numId w:val="2"/>
        </w:numPr>
        <w:rPr/>
      </w:pPr>
      <w:r>
        <w:rPr>
          <w:b/>
          <w:bCs/>
        </w:rPr>
        <w:t>Comparación justa.</w:t>
      </w:r>
      <w:r>
        <w:rPr/>
        <w:t xml:space="preserve"> Se genera un único conjunto de datos de escenario y todos los métodos se ejecutan sobre él. Un «gemelo nominal» comparte exactamente el mismo ruido sin degradación, lo que permite medir la pérdida de desempeño atribuible al fallo.</w:t>
      </w:r>
    </w:p>
    <w:p>
      <w:pPr>
        <w:pStyle w:val="Compact"/>
        <w:numPr>
          <w:ilvl w:val="0"/>
          <w:numId w:val="2"/>
        </w:numPr>
        <w:rPr/>
      </w:pPr>
      <w:r>
        <w:rPr>
          <w:b/>
          <w:bCs/>
        </w:rPr>
        <w:t>Estadística.</w:t>
      </w:r>
      <w:r>
        <w:rPr/>
        <w:t xml:space="preserve"> Monte Carlo con semillas derivadas y diseños aleatorio, hipercubo latino o Sobol; intervalos de confianza del 95 %; pruebas pareadas de rangos con signo de Wilcoxon [29] con corrección de Holm para comparaciones múltiples [30].</w:t>
      </w:r>
    </w:p>
    <w:p>
      <w:pPr>
        <w:pStyle w:val="Compact"/>
        <w:numPr>
          <w:ilvl w:val="0"/>
          <w:numId w:val="2"/>
        </w:numPr>
        <w:rPr/>
      </w:pPr>
      <w:r>
        <w:rPr>
          <w:b/>
          <w:bCs/>
        </w:rPr>
        <w:t>Sensibilidad global.</w:t>
      </w:r>
      <w:r>
        <w:rPr/>
        <w:t xml:space="preserve"> Métodos de Morris [26] y de índices de Sobol [27] siguiendo [25], implementados con SALib [28].</w:t>
      </w:r>
    </w:p>
    <w:p>
      <w:pPr>
        <w:pStyle w:val="Compact"/>
        <w:numPr>
          <w:ilvl w:val="0"/>
          <w:numId w:val="2"/>
        </w:numPr>
        <w:rPr/>
      </w:pPr>
      <w:r>
        <w:rPr>
          <w:b/>
          <w:bCs/>
        </w:rPr>
        <w:t>Reproducibilidad.</w:t>
      </w:r>
      <w:r>
        <w:rPr/>
        <w:t xml:space="preserve"> Configuración normalizada, semillas por proceso, manifiestos con huellas SHA-256 y verificación automática, siguiendo las reglas de reproducibilidad computacional [31] y los principios FAIR para software de investigación [32].</w:t>
      </w:r>
    </w:p>
    <w:p>
      <w:pPr>
        <w:pStyle w:val="Compact"/>
        <w:numPr>
          <w:ilvl w:val="0"/>
          <w:numId w:val="2"/>
        </w:numPr>
        <w:rPr/>
      </w:pPr>
      <w:r>
        <w:rPr>
          <w:b/>
          <w:bCs/>
        </w:rPr>
        <w:t>Base numérica.</w:t>
      </w:r>
      <w:r>
        <w:rPr/>
        <w:t xml:space="preserve"> NumPy [33] y SciPy [34]. Las figuras usan paletas seguras para daltonismo, estilos de línea y marcadores, de modo que no dependen solo del color [35].</w:t>
      </w:r>
    </w:p>
    <w:p>
      <w:pPr>
        <w:pStyle w:val="CaptionedFigure"/>
        <w:jc w:val="center"/>
        <w:rPr/>
      </w:pPr>
      <w:r>
        <w:rPr/>
        <w:drawing>
          <wp:inline distT="0" distB="0" distL="0" distR="0">
            <wp:extent cx="5334000" cy="2844800"/>
            <wp:effectExtent l="0" t="0" r="0" b="0"/>
            <wp:docPr id="1" name="Picture" descr="Figura 1. Confianza estimada por SensorTrust en ST-BENCH-02 (sesgo abrupto en el sensor S2; franja rayada: intervalo del fa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Figura 1. Confianza estimada por SensorTrust en ST-BENCH-02 (sesgo abrupto en el sensor S2; franja rayada: intervalo del fallo)"/>
                    <pic:cNvPicPr>
                      <a:picLocks noChangeAspect="1" noChangeArrowheads="1"/>
                    </pic:cNvPicPr>
                  </pic:nvPicPr>
                  <pic:blipFill>
                    <a:blip r:embed="rId2"/>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1. Confianza estimada por SensorTrust en ST-BENCH-02 (sesgo abrupto en el sensor S2; franja rayada: intervalo del fallo)</w:t>
      </w:r>
    </w:p>
    <w:p>
      <w:pPr>
        <w:pStyle w:val="BodyText"/>
        <w:rPr/>
      </w:pPr>
      <w:bookmarkStart w:id="22" w:name="X60585e44c6aad25d367e24737c82a6fe29d3527"/>
      <w:r>
        <w:rPr/>
        <w:t>En este experimento de referencia, la confianza del sensor degradado S2 cae por debajo de 0,5 a los 0.02 s del inicio del fallo y promedia 0.011 durante él. La confianza mínima de los sensores sanos es 0.916 (S1) y 1.000 (S3).</w:t>
      </w:r>
      <w:bookmarkEnd w:id="22"/>
    </w:p>
    <w:p>
      <w:pPr>
        <w:pStyle w:val="Heading1"/>
        <w:rPr/>
      </w:pPr>
      <w:bookmarkStart w:id="23" w:name="__RefHeading___Toc1904_1293274263"/>
      <w:bookmarkStart w:id="24" w:name="objetivos-y-área-de-aplicación"/>
      <w:bookmarkEnd w:id="23"/>
      <w:r>
        <w:rPr/>
        <w:t>4. Objetivos y área de aplicación</w:t>
      </w:r>
    </w:p>
    <w:p>
      <w:pPr>
        <w:pStyle w:val="Heading2"/>
        <w:rPr/>
      </w:pPr>
      <w:bookmarkStart w:id="25" w:name="__RefHeading___Toc1906_1293274263"/>
      <w:bookmarkStart w:id="26" w:name="objetivo-general"/>
      <w:bookmarkEnd w:id="25"/>
      <w:r>
        <w:rPr/>
        <w:t>4.1 Objetivo general</w:t>
      </w:r>
    </w:p>
    <w:p>
      <w:pPr>
        <w:pStyle w:val="FirstParagraph"/>
        <w:rPr/>
      </w:pPr>
      <w:bookmarkStart w:id="27" w:name="objetivo-general"/>
      <w:r>
        <w:rPr/>
        <w:t>Proporcionar una plataforma computacional reproducible para modelar, simular, analizar y comparar algoritmos de fusión multisensor bajo condiciones nominales, incertidumbre, fallos y degradación no estacionaria, permitiendo estimar dinámicamente la confiabilidad de las mediciones y cuantificar su impacto sobre el desempeño de estimación.</w:t>
      </w:r>
      <w:bookmarkEnd w:id="27"/>
    </w:p>
    <w:p>
      <w:pPr>
        <w:pStyle w:val="Heading2"/>
        <w:rPr/>
      </w:pPr>
      <w:bookmarkStart w:id="28" w:name="__RefHeading___Toc1908_1293274263"/>
      <w:bookmarkStart w:id="29" w:name="área-de-aplicación"/>
      <w:bookmarkEnd w:id="28"/>
      <w:r>
        <w:rPr/>
        <w:t>4.2 Área de aplicación</w:t>
      </w:r>
    </w:p>
    <w:p>
      <w:pPr>
        <w:pStyle w:val="Compact"/>
        <w:numPr>
          <w:ilvl w:val="0"/>
          <w:numId w:val="9"/>
        </w:numPr>
        <w:rPr/>
      </w:pPr>
      <w:r>
        <w:rPr/>
        <w:t>Fusión multisensor y estimación de estado.</w:t>
      </w:r>
    </w:p>
    <w:p>
      <w:pPr>
        <w:pStyle w:val="Compact"/>
        <w:numPr>
          <w:ilvl w:val="0"/>
          <w:numId w:val="10"/>
        </w:numPr>
        <w:rPr/>
      </w:pPr>
      <w:r>
        <w:rPr/>
        <w:t>Detección, diagnóstico y tolerancia a fallos de sensores.</w:t>
      </w:r>
    </w:p>
    <w:p>
      <w:pPr>
        <w:pStyle w:val="Compact"/>
        <w:numPr>
          <w:ilvl w:val="0"/>
          <w:numId w:val="11"/>
        </w:numPr>
        <w:rPr/>
      </w:pPr>
      <w:r>
        <w:rPr/>
        <w:t>Confiabilidad y autovalidación de instrumentación.</w:t>
      </w:r>
    </w:p>
    <w:p>
      <w:pPr>
        <w:pStyle w:val="Compact"/>
        <w:numPr>
          <w:ilvl w:val="0"/>
          <w:numId w:val="12"/>
        </w:numPr>
        <w:rPr/>
      </w:pPr>
      <w:r>
        <w:rPr/>
        <w:t>Robótica, vehículos autónomos y navegación.</w:t>
      </w:r>
    </w:p>
    <w:p>
      <w:pPr>
        <w:pStyle w:val="Compact"/>
        <w:numPr>
          <w:ilvl w:val="0"/>
          <w:numId w:val="13"/>
        </w:numPr>
        <w:rPr/>
      </w:pPr>
      <w:r>
        <w:rPr/>
        <w:t>Monitoreo de procesos (térmicos, mecánicos) con sensores redundantes.</w:t>
      </w:r>
    </w:p>
    <w:p>
      <w:pPr>
        <w:pStyle w:val="Compact"/>
        <w:numPr>
          <w:ilvl w:val="0"/>
          <w:numId w:val="14"/>
        </w:numPr>
        <w:rPr/>
      </w:pPr>
      <w:bookmarkStart w:id="30" w:name="objetivos-y-área-de-aplicación"/>
      <w:bookmarkStart w:id="31" w:name="área-de-aplicación"/>
      <w:r>
        <w:rPr/>
        <w:t>Docencia e investigación en filtrado de Kalman, métodos Monte Carlo y análisis de sensibilidad.</w:t>
      </w:r>
      <w:bookmarkEnd w:id="30"/>
      <w:bookmarkEnd w:id="31"/>
    </w:p>
    <w:p>
      <w:pPr>
        <w:pStyle w:val="Heading1"/>
        <w:rPr/>
      </w:pPr>
      <w:bookmarkStart w:id="32" w:name="__RefHeading___Toc1910_1293274263"/>
      <w:bookmarkStart w:id="33" w:name="funcionalidades-principales"/>
      <w:bookmarkEnd w:id="32"/>
      <w:r>
        <w:rPr/>
        <w:t>5. Funcionalidades principales</w:t>
      </w:r>
    </w:p>
    <w:p>
      <w:pPr>
        <w:pStyle w:val="FirstParagraph"/>
        <w:rPr/>
      </w:pPr>
      <w:r>
        <w:rPr>
          <w:b/>
          <w:bCs/>
        </w:rPr>
        <w:t>Entradas.</w:t>
      </w:r>
      <w:r>
        <w:rPr/>
        <w:t xml:space="preserve"> Configuración del experimento (interfaz gráfica, archivo YAML/JSON o API de Python): modelo dinámico y sus parámetros, estado inicial e incertidumbre, duración y frecuencia de muestreo, sensores (medición, frecuencia, ruido, sesgo, resolución, rango, retardo, pérdida, confiabilidad nominal), degradaciones y perfiles temporales, métodos de fusión y parámetros de confianza, métricas, semilla y estudios multi-corrida. Opcionalmente, conjuntos de datos externos (CSV, TXT, JSON).</w:t>
      </w:r>
    </w:p>
    <w:p>
      <w:pPr>
        <w:pStyle w:val="BodyText"/>
        <w:rPr/>
      </w:pPr>
      <w:r>
        <w:rPr>
          <w:b/>
          <w:bCs/>
        </w:rPr>
        <w:t>Procesamiento.</w:t>
      </w:r>
    </w:p>
    <w:p>
      <w:pPr>
        <w:pStyle w:val="Compact"/>
        <w:numPr>
          <w:ilvl w:val="0"/>
          <w:numId w:val="15"/>
        </w:numPr>
        <w:rPr/>
      </w:pPr>
      <w:r>
        <w:rPr>
          <w:i/>
          <w:iCs/>
        </w:rPr>
        <w:t>Modelos dinámicos:</w:t>
      </w:r>
      <w:r>
        <w:rPr/>
        <w:t xml:space="preserve"> señal escalar, velocidad constante, aceleración constante, oscilador masa–resorte–amortiguador, sistema térmico de dos nodos, péndulo no lineal y modelos lineales definidos por el usuario.</w:t>
      </w:r>
    </w:p>
    <w:p>
      <w:pPr>
        <w:pStyle w:val="Compact"/>
        <w:numPr>
          <w:ilvl w:val="0"/>
          <w:numId w:val="16"/>
        </w:numPr>
        <w:rPr/>
      </w:pPr>
      <w:r>
        <w:rPr>
          <w:i/>
          <w:iCs/>
        </w:rPr>
        <w:t>Generador del valor verdadero</w:t>
      </w:r>
      <w:r>
        <w:rPr/>
        <w:t xml:space="preserve"> independiente, inaccesible para los estimadores.</w:t>
      </w:r>
    </w:p>
    <w:p>
      <w:pPr>
        <w:pStyle w:val="Compact"/>
        <w:numPr>
          <w:ilvl w:val="0"/>
          <w:numId w:val="17"/>
        </w:numPr>
        <w:rPr/>
      </w:pPr>
      <w:r>
        <w:rPr>
          <w:i/>
          <w:iCs/>
        </w:rPr>
        <w:t>Sensores virtuales:</w:t>
      </w:r>
      <w:r>
        <w:rPr/>
        <w:t xml:space="preserve"> número ilimitado; ocho modelos de ruido (gaussiano, uniforme, variante en el tiempo, dependiente del tiempo, heterocedástico, correlacionado, en ráfagas, impulsivo).</w:t>
      </w:r>
    </w:p>
    <w:p>
      <w:pPr>
        <w:pStyle w:val="Compact"/>
        <w:numPr>
          <w:ilvl w:val="0"/>
          <w:numId w:val="18"/>
        </w:numPr>
        <w:rPr/>
      </w:pPr>
      <w:r>
        <w:rPr>
          <w:i/>
          <w:iCs/>
        </w:rPr>
        <w:t>Motor de degradación:</w:t>
      </w:r>
      <w:r>
        <w:rPr/>
        <w:t xml:space="preserve"> quince tipos (sesgo constante y progresivo, deriva acumulativa y de caminata aleatoria, periódica, intermitente, varianza creciente, ráfagas, valores atípicos, pérdida de sensibilidad, saturación, cuantización, congelamiento, pérdida de muestras y de paquetes) y ocho perfiles (escalón, rampa, exponencial, sigmoide, sinusoidal, caminata aleatoria, intermitente, recuperación), combinables.</w:t>
      </w:r>
    </w:p>
    <w:p>
      <w:pPr>
        <w:pStyle w:val="Compact"/>
        <w:numPr>
          <w:ilvl w:val="0"/>
          <w:numId w:val="19"/>
        </w:numPr>
        <w:rPr/>
      </w:pPr>
      <w:r>
        <w:rPr>
          <w:i/>
          <w:iCs/>
        </w:rPr>
        <w:t>Estimadores:</w:t>
      </w:r>
      <w:r>
        <w:rPr/>
        <w:t xml:space="preserve"> KF, EKF y UKF numéricamente estables; fusión centralizada y a nivel de estimaciones (intersección de covarianzas); estrategias de covarianza nominal, verdadera (oráculo), adaptativa Sage–Husa y SensorTrust.</w:t>
      </w:r>
    </w:p>
    <w:p>
      <w:pPr>
        <w:pStyle w:val="Compact"/>
        <w:numPr>
          <w:ilvl w:val="0"/>
          <w:numId w:val="20"/>
        </w:numPr>
        <w:rPr/>
      </w:pPr>
      <w:r>
        <w:rPr>
          <w:i/>
          <w:iCs/>
        </w:rPr>
        <w:t>SensorTrust:</w:t>
      </w:r>
      <w:r>
        <w:rPr/>
        <w:t xml:space="preserve"> innovación estandarizada, primer y segundo momentos (EWMA, ventana, recursivo), referencia de consenso entre sensores redundantes, confianza con dinámica asimétrica, compuerta de innovación y detector de degradación independiente.</w:t>
      </w:r>
    </w:p>
    <w:p>
      <w:pPr>
        <w:pStyle w:val="Compact"/>
        <w:numPr>
          <w:ilvl w:val="0"/>
          <w:numId w:val="21"/>
        </w:numPr>
        <w:rPr/>
      </w:pPr>
      <w:r>
        <w:rPr>
          <w:i/>
          <w:iCs/>
        </w:rPr>
        <w:t>Métricas:</w:t>
      </w:r>
      <w:r>
        <w:rPr/>
        <w:t xml:space="preserve"> RMSE, MAE, MSE, NRMSE, error máximo, sesgo, varianza del error, error final, RMSE por fase, NIS, NEES, retardo de detección, VP/FP/FN, precisión, exhaustividad, F1, tasas de falsa alarma y de detección fallida, métricas de confianza y de pesos, éxito, divergencia, pérdida de desempeño y calidad de recuperación.</w:t>
      </w:r>
    </w:p>
    <w:p>
      <w:pPr>
        <w:pStyle w:val="Compact"/>
        <w:numPr>
          <w:ilvl w:val="0"/>
          <w:numId w:val="22"/>
        </w:numPr>
        <w:rPr/>
      </w:pPr>
      <w:r>
        <w:rPr>
          <w:i/>
          <w:iCs/>
        </w:rPr>
        <w:t>Estudios:</w:t>
      </w:r>
      <w:r>
        <w:rPr/>
        <w:t xml:space="preserve"> Monte Carlo (aleatorio, hipercubo latino, Sobol), barridos paramétricos, envolventes y mapas de robustez, sensibilidad OAT, Morris y Sobol, estadística descriptiva con intervalos de confianza y pruebas pareadas de Wilcoxon con corrección de Holm.</w:t>
      </w:r>
    </w:p>
    <w:p>
      <w:pPr>
        <w:pStyle w:val="FirstParagraph"/>
        <w:rPr/>
      </w:pPr>
      <w:r>
        <w:rPr>
          <w:b/>
          <w:bCs/>
        </w:rPr>
        <w:t>Salidas.</w:t>
      </w:r>
      <w:r>
        <w:rPr/>
        <w:t xml:space="preserve"> Directorio de resultados con identificador ordenado (</w:t>
      </w:r>
      <w:r>
        <w:rPr>
          <w:rStyle w:val="VerbatimChar"/>
        </w:rPr>
        <w:t>ST_EXP_2026_000001</w:t>
      </w:r>
      <w:r>
        <w:rPr/>
        <w:t>, …) que contiene la configuración, el manifiesto de reproducibilidad, el conjunto de datos, estimaciones, confianza, innovaciones, métricas (JSON/CSV), doce tipos de figuras científicas (PNG, SVG, PDF) y el registro de ejecución; estudios multi-corrida con sus tablas y figuras (diagramas de caja, FDA empírica, histogramas, mapas de calor, mapas de robustez, gráficos de sensibilidad).</w:t>
      </w:r>
    </w:p>
    <w:p>
      <w:pPr>
        <w:pStyle w:val="BodyText"/>
        <w:rPr/>
      </w:pPr>
      <w:bookmarkStart w:id="34" w:name="funcionalidades-principales"/>
      <w:r>
        <w:rPr/>
        <w:t>La descripción detallada de la operación se encuentra en el Manual de Usuario; los modelos y ecuaciones, en el Manual Técnico.</w:t>
      </w:r>
      <w:bookmarkEnd w:id="34"/>
    </w:p>
    <w:p>
      <w:pPr>
        <w:pStyle w:val="Heading1"/>
        <w:rPr/>
      </w:pPr>
      <w:bookmarkStart w:id="35" w:name="__RefHeading___Toc1912_1293274263"/>
      <w:bookmarkStart w:id="36" w:name="Xd609f75f48753d95fe417077ba20bf5a395cae2"/>
      <w:bookmarkEnd w:id="35"/>
      <w:r>
        <w:rPr/>
        <w:t>6. Adaptabilidad, extensibilidad y mantenibilidad</w:t>
      </w:r>
    </w:p>
    <w:p>
      <w:pPr>
        <w:pStyle w:val="FirstParagraph"/>
        <w:rPr/>
      </w:pPr>
      <w:r>
        <w:rPr>
          <w:b/>
          <w:bCs/>
        </w:rPr>
        <w:t>Modularidad.</w:t>
      </w:r>
      <w:r>
        <w:rPr/>
        <w:t xml:space="preserve"> Catorce paquetes con responsabilidades delimitadas (</w:t>
      </w:r>
      <w:r>
        <w:rPr>
          <w:rStyle w:val="VerbatimChar"/>
        </w:rPr>
        <w:t>models</w:t>
      </w:r>
      <w:r>
        <w:rPr/>
        <w:t xml:space="preserve">, </w:t>
      </w:r>
      <w:r>
        <w:rPr>
          <w:rStyle w:val="VerbatimChar"/>
        </w:rPr>
        <w:t>simulation</w:t>
      </w:r>
      <w:r>
        <w:rPr/>
        <w:t xml:space="preserve">, </w:t>
      </w:r>
      <w:r>
        <w:rPr>
          <w:rStyle w:val="VerbatimChar"/>
        </w:rPr>
        <w:t>sensors</w:t>
      </w:r>
      <w:r>
        <w:rPr/>
        <w:t xml:space="preserve">, </w:t>
      </w:r>
      <w:r>
        <w:rPr>
          <w:rStyle w:val="VerbatimChar"/>
        </w:rPr>
        <w:t>degradation</w:t>
      </w:r>
      <w:r>
        <w:rPr/>
        <w:t xml:space="preserve">, </w:t>
      </w:r>
      <w:r>
        <w:rPr>
          <w:rStyle w:val="VerbatimChar"/>
        </w:rPr>
        <w:t>estimators</w:t>
      </w:r>
      <w:r>
        <w:rPr/>
        <w:t xml:space="preserve">, </w:t>
      </w:r>
      <w:r>
        <w:rPr>
          <w:rStyle w:val="VerbatimChar"/>
        </w:rPr>
        <w:t>trust</w:t>
      </w:r>
      <w:r>
        <w:rPr/>
        <w:t xml:space="preserve">, </w:t>
      </w:r>
      <w:r>
        <w:rPr>
          <w:rStyle w:val="VerbatimChar"/>
        </w:rPr>
        <w:t>fusion</w:t>
      </w:r>
      <w:r>
        <w:rPr/>
        <w:t xml:space="preserve">, </w:t>
      </w:r>
      <w:r>
        <w:rPr>
          <w:rStyle w:val="VerbatimChar"/>
        </w:rPr>
        <w:t>metrics</w:t>
      </w:r>
      <w:r>
        <w:rPr/>
        <w:t xml:space="preserve">, </w:t>
      </w:r>
      <w:r>
        <w:rPr>
          <w:rStyle w:val="VerbatimChar"/>
        </w:rPr>
        <w:t>statistics</w:t>
      </w:r>
      <w:r>
        <w:rPr/>
        <w:t xml:space="preserve">, </w:t>
      </w:r>
      <w:r>
        <w:rPr>
          <w:rStyle w:val="VerbatimChar"/>
        </w:rPr>
        <w:t>experiments</w:t>
      </w:r>
      <w:r>
        <w:rPr/>
        <w:t xml:space="preserve">, </w:t>
      </w:r>
      <w:r>
        <w:rPr>
          <w:rStyle w:val="VerbatimChar"/>
        </w:rPr>
        <w:t>visualization</w:t>
      </w:r>
      <w:r>
        <w:rPr/>
        <w:t xml:space="preserve">, </w:t>
      </w:r>
      <w:r>
        <w:rPr>
          <w:rStyle w:val="VerbatimChar"/>
        </w:rPr>
        <w:t>io</w:t>
      </w:r>
      <w:r>
        <w:rPr/>
        <w:t xml:space="preserve">, </w:t>
      </w:r>
      <w:r>
        <w:rPr>
          <w:rStyle w:val="VerbatimChar"/>
        </w:rPr>
        <w:t>gui</w:t>
      </w:r>
      <w:r>
        <w:rPr/>
        <w:t xml:space="preserve">, </w:t>
      </w:r>
      <w:r>
        <w:rPr>
          <w:rStyle w:val="VerbatimChar"/>
        </w:rPr>
        <w:t>utils</w:t>
      </w:r>
      <w:r>
        <w:rPr/>
        <w:t>). La interfaz gráfica no contiene lógica científica: todas sus acciones llaman al gestor de experimentos y a los motores de estudio.</w:t>
      </w:r>
    </w:p>
    <w:p>
      <w:pPr>
        <w:pStyle w:val="BodyText"/>
        <w:rPr/>
      </w:pPr>
      <w:r>
        <w:rPr>
          <w:b/>
          <w:bCs/>
        </w:rPr>
        <w:t>Extensión.</w:t>
      </w:r>
      <w:r>
        <w:rPr/>
        <w:t xml:space="preserve"> Interfaces explícitas (</w:t>
      </w:r>
      <w:r>
        <w:rPr>
          <w:rStyle w:val="VerbatimChar"/>
        </w:rPr>
        <w:t>DynamicModel</w:t>
      </w:r>
      <w:r>
        <w:rPr/>
        <w:t xml:space="preserve">, </w:t>
      </w:r>
      <w:r>
        <w:rPr>
          <w:rStyle w:val="VerbatimChar"/>
        </w:rPr>
        <w:t>VirtualSensor</w:t>
      </w:r>
      <w:r>
        <w:rPr/>
        <w:t xml:space="preserve">, </w:t>
      </w:r>
      <w:r>
        <w:rPr>
          <w:rStyle w:val="VerbatimChar"/>
        </w:rPr>
        <w:t>NoiseModel</w:t>
      </w:r>
      <w:r>
        <w:rPr/>
        <w:t xml:space="preserve">, </w:t>
      </w:r>
      <w:r>
        <w:rPr>
          <w:rStyle w:val="VerbatimChar"/>
        </w:rPr>
        <w:t>Degradation</w:t>
      </w:r>
      <w:r>
        <w:rPr/>
        <w:t xml:space="preserve">, </w:t>
      </w:r>
      <w:r>
        <w:rPr>
          <w:rStyle w:val="VerbatimChar"/>
        </w:rPr>
        <w:t>Profile</w:t>
      </w:r>
      <w:r>
        <w:rPr/>
        <w:t xml:space="preserve">, </w:t>
      </w:r>
      <w:r>
        <w:rPr>
          <w:rStyle w:val="VerbatimChar"/>
        </w:rPr>
        <w:t>GaussianFilter</w:t>
      </w:r>
      <w:r>
        <w:rPr/>
        <w:t xml:space="preserve">, </w:t>
      </w:r>
      <w:r>
        <w:rPr>
          <w:rStyle w:val="VerbatimChar"/>
        </w:rPr>
        <w:t>TrustEstimator</w:t>
      </w:r>
      <w:r>
        <w:rPr/>
        <w:t xml:space="preserve">, </w:t>
      </w:r>
      <w:r>
        <w:rPr>
          <w:rStyle w:val="VerbatimChar"/>
        </w:rPr>
        <w:t>Detector</w:t>
      </w:r>
      <w:r>
        <w:rPr/>
        <w:t xml:space="preserve">, </w:t>
      </w:r>
      <w:r>
        <w:rPr>
          <w:rStyle w:val="VerbatimChar"/>
        </w:rPr>
        <w:t>FusionMethod</w:t>
      </w:r>
      <w:r>
        <w:rPr/>
        <w:t>) y registros permiten incorporar modelos, ruidos, degradaciones, estimadores de confianza y métodos de fusión sin modificar el resto del sistema. El estimador de los dos primeros momentos está aislado de filtros, modelos, simulación e interfaz, de modo que puede combinarse con KF, EKF, UKF y fusión a nivel de estimaciones (así se implementan SensorTrust KF, EKF, UKF y CI).</w:t>
      </w:r>
    </w:p>
    <w:p>
      <w:pPr>
        <w:pStyle w:val="BodyText"/>
        <w:rPr/>
      </w:pPr>
      <w:r>
        <w:rPr>
          <w:b/>
          <w:bCs/>
        </w:rPr>
        <w:t>Configuración.</w:t>
      </w:r>
      <w:r>
        <w:rPr/>
        <w:t xml:space="preserve"> Todo experimento es un archivo YAML/JSON legible; cualquier parámetro puede variarse en estudios mediante rutas (</w:t>
      </w:r>
      <w:r>
        <w:rPr>
          <w:rStyle w:val="VerbatimChar"/>
        </w:rPr>
        <w:t>sensors[1].degradations[0].severity</w:t>
      </w:r>
      <w:r>
        <w:rPr/>
        <w:t>).</w:t>
      </w:r>
    </w:p>
    <w:p>
      <w:pPr>
        <w:pStyle w:val="BodyText"/>
        <w:rPr/>
      </w:pPr>
      <w:r>
        <w:rPr>
          <w:b/>
          <w:bCs/>
        </w:rPr>
        <w:t>Mantenibilidad.</w:t>
      </w:r>
      <w:r>
        <w:rPr/>
        <w:t xml:space="preserve"> Arquitectura modular por capas, compilación del ejecutable de Windows en integración continua, registro de eventos (</w:t>
      </w:r>
      <w:r>
        <w:rPr>
          <w:rStyle w:val="VerbatimChar"/>
        </w:rPr>
        <w:t>logging</w:t>
      </w:r>
      <w:r>
        <w:rPr/>
        <w:t>) y manejo de errores con mensajes comprensibles.</w:t>
      </w:r>
      <w:bookmarkEnd w:id="36"/>
    </w:p>
    <w:p>
      <w:pPr>
        <w:pStyle w:val="Heading1"/>
        <w:rPr/>
      </w:pPr>
      <w:bookmarkStart w:id="37" w:name="__RefHeading___Toc1914_1293274263"/>
      <w:bookmarkStart w:id="38" w:name="robustez-desempeño-y-consistencia"/>
      <w:bookmarkEnd w:id="37"/>
      <w:r>
        <w:rPr/>
        <w:t>7. Robustez, desempeño y consistencia</w:t>
      </w:r>
    </w:p>
    <w:p>
      <w:pPr>
        <w:pStyle w:val="Heading2"/>
        <w:rPr/>
      </w:pPr>
      <w:bookmarkStart w:id="39" w:name="__RefHeading___Toc1916_1293274263"/>
      <w:bookmarkStart w:id="40" w:name="robustez"/>
      <w:bookmarkEnd w:id="39"/>
      <w:r>
        <w:rPr/>
        <w:t>7.1 Robustez</w:t>
      </w:r>
    </w:p>
    <w:p>
      <w:pPr>
        <w:pStyle w:val="Compact"/>
        <w:numPr>
          <w:ilvl w:val="0"/>
          <w:numId w:val="23"/>
        </w:numPr>
        <w:rPr/>
      </w:pPr>
      <w:r>
        <w:rPr>
          <w:b/>
          <w:bCs/>
        </w:rPr>
        <w:t>Validación previa:</w:t>
      </w:r>
      <w:r>
        <w:rPr/>
        <w:t xml:space="preserve"> tipos, rangos, dimensiones de matrices, simetría y semidefinición de covarianzas, número y nombres de sensores, distribuciones, semillas, instantes de fallo dentro del horizonte y archivos corruptos; los errores se comunican con mensajes comprensibles en la interfaz y en la línea de comandos.</w:t>
      </w:r>
    </w:p>
    <w:p>
      <w:pPr>
        <w:pStyle w:val="Compact"/>
        <w:numPr>
          <w:ilvl w:val="0"/>
          <w:numId w:val="24"/>
        </w:numPr>
        <w:rPr/>
      </w:pPr>
      <w:r>
        <w:rPr>
          <w:b/>
          <w:bCs/>
        </w:rPr>
        <w:t>Estabilidad numérica:</w:t>
      </w:r>
      <w:r>
        <w:rPr/>
        <w:t xml:space="preserve"> ganancia de Kalman por resolución de sistemas lineales, actualización de Joseph, simetrización, factorizaciones robustas y límites inferiores de confianza y covarianza.</w:t>
      </w:r>
    </w:p>
    <w:p>
      <w:pPr>
        <w:pStyle w:val="Compact"/>
        <w:numPr>
          <w:ilvl w:val="0"/>
          <w:numId w:val="25"/>
        </w:numPr>
        <w:rPr/>
      </w:pPr>
      <w:r>
        <w:rPr>
          <w:b/>
          <w:bCs/>
        </w:rPr>
        <w:t>Aislamiento de fallos de métodos:</w:t>
      </w:r>
      <w:r>
        <w:rPr/>
        <w:t xml:space="preserve"> un método no aplicable o con error se registra y los demás continúan; la divergencia numérica se detecta y se informa.</w:t>
      </w:r>
    </w:p>
    <w:p>
      <w:pPr>
        <w:pStyle w:val="Compact"/>
        <w:numPr>
          <w:ilvl w:val="0"/>
          <w:numId w:val="26"/>
        </w:numPr>
        <w:rPr/>
      </w:pPr>
      <w:r>
        <w:rPr>
          <w:b/>
          <w:bCs/>
        </w:rPr>
        <w:t>Ejecución en segundo plano</w:t>
      </w:r>
      <w:r>
        <w:rPr/>
        <w:t xml:space="preserve"> con posibilidad de cancelar estudios largos.</w:t>
      </w:r>
      <w:bookmarkEnd w:id="40"/>
    </w:p>
    <w:p>
      <w:pPr>
        <w:pStyle w:val="Heading2"/>
        <w:rPr/>
      </w:pPr>
      <w:bookmarkStart w:id="41" w:name="__RefHeading___Toc1918_1293274263"/>
      <w:bookmarkEnd w:id="41"/>
      <w:r>
        <w:rPr/>
        <w:t>7.2 Desempeño</w:t>
      </w:r>
    </w:p>
    <w:p>
      <w:pPr>
        <w:pStyle w:val="FirstParagraph"/>
        <w:rPr/>
      </w:pPr>
      <w:r>
        <w:rPr/>
        <w:t>Tiempos medidos en las ejecuciones de referencia (entorno: Linux-6.18.44-fc-v37-x86_64-with-glibc2.39, 4 núcleos):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6576"/>
        <w:gridCol w:w="3055"/>
      </w:tblGrid>
      <w:tr>
        <w:trPr>
          <w:tblHeader w:val="true"/>
        </w:trPr>
        <w:tc>
          <w:tcPr>
            <w:tcW w:w="657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Métrica</w:t>
            </w:r>
          </w:p>
        </w:tc>
        <w:tc>
          <w:tcPr>
            <w:tcW w:w="305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Resultado</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6000 muestras, 3 sensores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1.25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nominal, 6000 muestras, 3 sensores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0.60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Experimento completo ST-BENCH-02 (7 métodos, gemelo nominal, figuras y archivos)</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8.6 s</w:t>
            </w:r>
          </w:p>
        </w:tc>
      </w:tr>
      <w:tr>
        <w:trPr/>
        <w:tc>
          <w:tcPr>
            <w:tcW w:w="657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Monte Carlo de 100 corridas × 5 métodos (40 s a 100 Hz), en paralelo</w:t>
            </w:r>
          </w:p>
        </w:tc>
        <w:tc>
          <w:tcPr>
            <w:tcW w:w="305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62.3 s</w:t>
            </w:r>
            <w:bookmarkStart w:id="42" w:name="desempeño"/>
            <w:bookmarkEnd w:id="42"/>
          </w:p>
        </w:tc>
      </w:tr>
    </w:tbl>
    <w:p>
      <w:pPr>
        <w:pStyle w:val="Heading2"/>
        <w:rPr/>
      </w:pPr>
      <w:bookmarkStart w:id="43" w:name="__RefHeading___Toc1920_1293274263"/>
      <w:bookmarkEnd w:id="43"/>
      <w:r>
        <w:rPr/>
        <w:t>7.3 Consistencia y reproducibilidad</w:t>
      </w:r>
    </w:p>
    <w:p>
      <w:pPr>
        <w:pStyle w:val="FirstParagraph"/>
        <w:rPr/>
      </w:pPr>
      <w:r>
        <w:rPr/>
        <w:t xml:space="preserve">Todo proceso aleatorio usa generadores derivados de la semilla y de una clave por proceso; la misma configuración y semilla reproducen exactamente las mismas mediciones y resultados (verificado por pruebas). Cada experimento guarda su configuración normalizada y un manifiesto con la versión, la semilla y los hashes SHA-256 de la configuración y del conjunto de datos; la orden </w:t>
      </w:r>
      <w:r>
        <w:rPr>
          <w:rStyle w:val="VerbatimChar"/>
        </w:rPr>
        <w:t>sensortrust verify</w:t>
      </w:r>
      <w:r>
        <w:rPr/>
        <w:t xml:space="preserve"> regenera el escenario y compara los hashes. La comparación de métodos es justa por construcción: se genera un único conjunto de datos de escenario y todos los algoritmos se ejecutan sobre él.</w:t>
      </w:r>
      <w:bookmarkEnd w:id="38"/>
    </w:p>
    <w:p>
      <w:pPr>
        <w:pStyle w:val="Heading1"/>
        <w:rPr/>
      </w:pPr>
      <w:bookmarkStart w:id="44" w:name="__RefHeading___Toc1922_1293274263"/>
      <w:bookmarkStart w:id="45" w:name="interfaz-y-usabilidad"/>
      <w:bookmarkEnd w:id="44"/>
      <w:r>
        <w:rPr/>
        <w:t>8. Interfaz y usabilidad</w:t>
      </w:r>
    </w:p>
    <w:p>
      <w:pPr>
        <w:pStyle w:val="FirstParagraph"/>
        <w:rPr/>
      </w:pPr>
      <w:bookmarkStart w:id="46" w:name="interfaz-y-usabilidad"/>
      <w:r>
        <w:rPr/>
        <w:t>Interfaz de escritorio bilingüe (español/inglés, alternable con un botón) organizada en once pestañas: Sistema, Sensores, Degradación (con vista previa calculada por el motor real), Fusión, Confianza (con ayuda explicativa), Experimento, Monte Carlo, Análisis (robustez, sensibilidad, barridos), Resultados (figuras seleccionables por método y sensor, tablas de métricas), Comparar y Exportar (figuras, configuración, datos, métricas, verificación de reproducibilidad, importación opcional). Todos los parámetros tienen nombres descriptivos con símbolo y unidad. El cambio de idioma afecta a toda la interfaz, incluidos los nombres de métricas, las figuras y los mensajes de error. Cada pestaña incluye un recuadro que explica su función y cada control muestra una explicación emergente. El menú Ayuda ofrece una guía rápida y abre los manuales. Doce ejemplos científicos y los benchmarks se cargan desde la barra de herramientas. Las figuras usan colores seguros para daltonismo, estilos de línea y marcadores, leyendas, unidades y franjas rayadas para los fallos, de modo que son interpretables en impresión en escala de grises.</w:t>
      </w:r>
      <w:bookmarkEnd w:id="46"/>
    </w:p>
    <w:p>
      <w:pPr>
        <w:pStyle w:val="Heading1"/>
        <w:rPr/>
      </w:pPr>
      <w:bookmarkStart w:id="47" w:name="__RefHeading___Toc1924_1293274263"/>
      <w:bookmarkStart w:id="48" w:name="integridad-y-seguridad-de-la-información"/>
      <w:bookmarkEnd w:id="47"/>
      <w:r>
        <w:rPr/>
        <w:t>9. Integridad y seguridad de la información</w:t>
      </w:r>
    </w:p>
    <w:p>
      <w:pPr>
        <w:pStyle w:val="FirstParagraph"/>
        <w:rPr/>
      </w:pPr>
      <w:r>
        <w:rPr/>
        <w:t>SensorTrust Fusion es una aplicación local que no expone servicios de red, no gestiona usuarios ni credenciales y no transmite datos.</w:t>
      </w:r>
    </w:p>
    <w:p>
      <w:pPr>
        <w:pStyle w:val="Compact"/>
        <w:numPr>
          <w:ilvl w:val="0"/>
          <w:numId w:val="27"/>
        </w:numPr>
        <w:rPr/>
      </w:pPr>
      <w:r>
        <w:rPr>
          <w:b/>
          <w:bCs/>
        </w:rPr>
        <w:t>Autenticación y cifrado:</w:t>
      </w:r>
      <w:r>
        <w:rPr/>
        <w:t xml:space="preserve"> no aplican (aplicación local sin comunicación).</w:t>
      </w:r>
    </w:p>
    <w:p>
      <w:pPr>
        <w:pStyle w:val="Compact"/>
        <w:numPr>
          <w:ilvl w:val="0"/>
          <w:numId w:val="28"/>
        </w:numPr>
        <w:rPr/>
      </w:pPr>
      <w:r>
        <w:rPr>
          <w:b/>
          <w:bCs/>
        </w:rPr>
        <w:t>Validación de datos:</w:t>
      </w:r>
      <w:r>
        <w:rPr/>
        <w:t xml:space="preserve"> sí aplica; configuraciones y archivos importados se validan antes de ejecutar.</w:t>
      </w:r>
    </w:p>
    <w:p>
      <w:pPr>
        <w:pStyle w:val="Compact"/>
        <w:numPr>
          <w:ilvl w:val="0"/>
          <w:numId w:val="29"/>
        </w:numPr>
        <w:rPr/>
      </w:pPr>
      <w:r>
        <w:rPr>
          <w:b/>
          <w:bCs/>
        </w:rPr>
        <w:t>Integridad y trazabilidad:</w:t>
      </w:r>
      <w:r>
        <w:rPr/>
        <w:t xml:space="preserve"> sí aplica; manifiestos con hashes SHA-256, configuración normalizada, identificadores ordenados reservados de forma atómica y registro de ejecución.</w:t>
      </w:r>
    </w:p>
    <w:p>
      <w:pPr>
        <w:pStyle w:val="Compact"/>
        <w:numPr>
          <w:ilvl w:val="0"/>
          <w:numId w:val="30"/>
        </w:numPr>
        <w:rPr/>
      </w:pPr>
      <w:r>
        <w:rPr>
          <w:b/>
          <w:bCs/>
        </w:rPr>
        <w:t>Separación del valor verdadero:</w:t>
      </w:r>
      <w:r>
        <w:rPr/>
        <w:t xml:space="preserve"> los estimadores reciben únicamente las mediciones; los métodos oráculo están etiquetados explícitamente.</w:t>
      </w:r>
      <w:bookmarkEnd w:id="48"/>
    </w:p>
    <w:p>
      <w:pPr>
        <w:pStyle w:val="Heading1"/>
        <w:rPr/>
      </w:pPr>
      <w:bookmarkStart w:id="49" w:name="__RefHeading___Toc1926_1293274263"/>
      <w:bookmarkStart w:id="50" w:name="portabilidad-y-compatibilidad"/>
      <w:bookmarkEnd w:id="49"/>
      <w:r>
        <w:rPr/>
        <w:t>10. Portabilidad y compatibilidad</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32"/>
        <w:gridCol w:w="6399"/>
      </w:tblGrid>
      <w:tr>
        <w:trPr>
          <w:tblHeader w:val="true"/>
        </w:trPr>
        <w:tc>
          <w:tcPr>
            <w:tcW w:w="323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Plataforma</w:t>
            </w:r>
          </w:p>
        </w:tc>
        <w:tc>
          <w:tcPr>
            <w:tcW w:w="639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Compatibilidad</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Windows</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Ejecutable autocontenido y código fuente; verificado en Windows.</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Linux</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Código fuente; verificado en Linux; entorno de las ejecuciones de referencia y de las capturas.</w:t>
            </w:r>
          </w:p>
        </w:tc>
      </w:tr>
      <w:tr>
        <w:trPr/>
        <w:tc>
          <w:tcPr>
            <w:tcW w:w="323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macOS</w:t>
            </w:r>
          </w:p>
        </w:tc>
        <w:tc>
          <w:tcPr>
            <w:tcW w:w="639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Compatible en principio (dependencias multiplataforma); sin validación documentada.</w:t>
            </w:r>
          </w:p>
        </w:tc>
      </w:tr>
    </w:tbl>
    <w:p>
      <w:pPr>
        <w:pStyle w:val="BodyText"/>
        <w:rPr/>
      </w:pPr>
      <w:bookmarkStart w:id="51" w:name="portabilidad-y-compatibilidad"/>
      <w:r>
        <w:rPr/>
        <w:t>La capa científica es Python puro sobre NumPy/SciPy, sin dependencias de plataforma; la interfaz depende de PySide6.</w:t>
      </w:r>
      <w:bookmarkEnd w:id="51"/>
    </w:p>
    <w:p>
      <w:pPr>
        <w:pStyle w:val="Heading1"/>
        <w:rPr/>
      </w:pPr>
      <w:bookmarkStart w:id="52" w:name="__RefHeading___Toc1928_1293274263"/>
      <w:bookmarkEnd w:id="52"/>
      <w:r>
        <w:rPr/>
        <w:t>11. Documentación y soporte técnico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2573"/>
        <w:gridCol w:w="1838"/>
        <w:gridCol w:w="5221"/>
      </w:tblGrid>
      <w:tr>
        <w:trPr>
          <w:tblHeader w:val="true"/>
        </w:trPr>
        <w:tc>
          <w:tcPr>
            <w:tcW w:w="257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Recurso</w:t>
            </w:r>
          </w:p>
        </w:tc>
        <w:tc>
          <w:tcPr>
            <w:tcW w:w="183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Disponible</w:t>
            </w:r>
          </w:p>
        </w:tc>
        <w:tc>
          <w:tcPr>
            <w:tcW w:w="522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Descripción</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Manual de Usuario</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Sí (carpeta </w:t>
            </w:r>
            <w:r>
              <w:rPr>
                <w:rStyle w:val="VerbatimChar"/>
                <w:rFonts w:eastAsia="" w:cs=""/>
                <w:kern w:val="0"/>
                <w:sz w:val="17"/>
                <w:szCs w:val="24"/>
                <w:lang w:val="en-US" w:eastAsia="zh-CN" w:bidi="ar-SA"/>
              </w:rPr>
              <w:t>Manuales/</w:t>
            </w:r>
            <w:r>
              <w:rPr>
                <w:rFonts w:eastAsia="" w:cs=""/>
                <w:kern w:val="0"/>
                <w:sz w:val="17"/>
                <w:szCs w:val="24"/>
                <w:lang w:val="en-US" w:eastAsia="zh-CN" w:bidi="ar-SA"/>
              </w:rPr>
              <w:t>)</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Instalación, ejecución, interfaz, configuración, guía paso a paso, experimentos A–L, Monte Carlo, comparación, exportación, solución de problemas.</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Manual Técnico</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 xml:space="preserve">Sí (carpeta </w:t>
            </w:r>
            <w:r>
              <w:rPr>
                <w:rStyle w:val="VerbatimChar"/>
                <w:rFonts w:eastAsia="" w:cs=""/>
                <w:kern w:val="0"/>
                <w:sz w:val="17"/>
                <w:szCs w:val="24"/>
                <w:lang w:val="en-US" w:eastAsia="zh-CN" w:bidi="ar-SA"/>
              </w:rPr>
              <w:t>Manuales/</w:t>
            </w:r>
            <w:r>
              <w:rPr>
                <w:rFonts w:eastAsia="" w:cs=""/>
                <w:kern w:val="0"/>
                <w:sz w:val="17"/>
                <w:szCs w:val="24"/>
                <w:lang w:val="en-US" w:eastAsia="zh-CN" w:bidi="ar-SA"/>
              </w:rPr>
              <w:t>)</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Fundamentos, modelos, ecuaciones, algoritmos, métricas, arquitectura, formatos, reproducibilidad, verificación, validación, limitaciones.</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README</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Descripción, instalación, ejecución, estructura y benchmarks.</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Código fuente</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Repositorio del proyecto.</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Ejecutable</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SensorTrustFusion-1.0.0-win64.exe</w:t>
            </w:r>
            <w:r>
              <w:rPr>
                <w:rFonts w:eastAsia="" w:cs=""/>
                <w:kern w:val="0"/>
                <w:sz w:val="17"/>
                <w:szCs w:val="24"/>
                <w:lang w:val="en-US" w:eastAsia="zh-CN" w:bidi="ar-SA"/>
              </w:rPr>
              <w:t xml:space="preserve"> (Releases del repositorio).</w:t>
            </w:r>
          </w:p>
        </w:tc>
      </w:tr>
      <w:tr>
        <w:trPr/>
        <w:tc>
          <w:tcPr>
            <w:tcW w:w="257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Configuraciones y benchmarks</w:t>
            </w:r>
          </w:p>
        </w:tc>
        <w:tc>
          <w:tcPr>
            <w:tcW w:w="183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c>
          <w:tcPr>
            <w:tcW w:w="522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Style w:val="VerbatimChar"/>
                <w:rFonts w:eastAsia="" w:cs=""/>
                <w:kern w:val="0"/>
                <w:sz w:val="17"/>
                <w:szCs w:val="24"/>
                <w:lang w:val="en-US" w:eastAsia="zh-CN" w:bidi="ar-SA"/>
              </w:rPr>
              <w:t>configs/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benchmarks/</w:t>
            </w:r>
            <w:r>
              <w:rPr>
                <w:rFonts w:eastAsia="" w:cs=""/>
                <w:kern w:val="0"/>
                <w:sz w:val="17"/>
                <w:szCs w:val="24"/>
                <w:lang w:val="en-US" w:eastAsia="zh-CN" w:bidi="ar-SA"/>
              </w:rPr>
              <w:t xml:space="preserve">, </w:t>
            </w:r>
            <w:r>
              <w:rPr>
                <w:rStyle w:val="VerbatimChar"/>
                <w:rFonts w:eastAsia="" w:cs=""/>
                <w:kern w:val="0"/>
                <w:sz w:val="17"/>
                <w:szCs w:val="24"/>
                <w:lang w:val="en-US" w:eastAsia="zh-CN" w:bidi="ar-SA"/>
              </w:rPr>
              <w:t>examples/</w:t>
            </w:r>
            <w:r>
              <w:rPr>
                <w:rFonts w:eastAsia="" w:cs=""/>
                <w:kern w:val="0"/>
                <w:sz w:val="17"/>
                <w:szCs w:val="24"/>
                <w:lang w:val="en-US" w:eastAsia="zh-CN" w:bidi="ar-SA"/>
              </w:rPr>
              <w:t>.</w:t>
            </w:r>
            <w:bookmarkStart w:id="53" w:name="documentación-y-soporte-técnico"/>
            <w:bookmarkEnd w:id="53"/>
          </w:p>
        </w:tc>
      </w:tr>
    </w:tbl>
    <w:p>
      <w:pPr>
        <w:pStyle w:val="Heading1"/>
        <w:rPr/>
      </w:pPr>
      <w:bookmarkStart w:id="54" w:name="__RefHeading___Toc1930_1293274263"/>
      <w:bookmarkEnd w:id="54"/>
      <w:r>
        <w:rPr/>
        <w:t>12. Verificación, validación y desempeño</w:t>
      </w:r>
    </w:p>
    <w:p>
      <w:pPr>
        <w:pStyle w:val="FirstParagraph"/>
        <w:rPr/>
      </w:pPr>
      <w:r>
        <w:rPr/>
        <w:t>Durante el desarrollo se verificaron modelos, sensores, ruido, degradación (incluida la ausencia de efecto antes del instante de fallo y la aplicación exacta del perfil), filtro de Kalman (contra la ecuación de Riccati y soluciones analíticas), innovación, momentos, confianza, pesos, métricas, semillas, reproducibilidad, exportación e importación, estudios multi-corrida e interfaz gráfica (véase el Manual Técnico, sección 25).</w:t>
      </w:r>
    </w:p>
    <w:p>
      <w:pPr>
        <w:pStyle w:val="BodyText"/>
        <w:rPr/>
      </w:pPr>
      <w:r>
        <w:rPr/>
        <w:t>Resultados representativos de las ejecuciones de referencia (RMSE de posición, especificación 0,05 m):</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893"/>
        <w:gridCol w:w="1651"/>
        <w:gridCol w:w="1965"/>
        <w:gridCol w:w="2122"/>
      </w:tblGrid>
      <w:tr>
        <w:trPr>
          <w:tblHeader w:val="true"/>
        </w:trPr>
        <w:tc>
          <w:tcPr>
            <w:tcW w:w="3893"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Escenario</w:t>
            </w:r>
          </w:p>
        </w:tc>
        <w:tc>
          <w:tcPr>
            <w:tcW w:w="165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(R nominal)</w:t>
            </w:r>
          </w:p>
        </w:tc>
        <w:tc>
          <w:tcPr>
            <w:tcW w:w="1965"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KF adaptativo</w:t>
            </w:r>
          </w:p>
        </w:tc>
        <w:tc>
          <w:tcPr>
            <w:tcW w:w="2122"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SensorTrust KF</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Nominal (ST-BENCH-01)</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0.0206</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0.0207</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Sesgo abrupto (ST-BENCH-02)</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0.2174</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0.0241</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0.0224</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Sesgo progresivo (ST-BENCH-03)</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0.2510</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0.0227</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 congelado (ST-BENCH-07)</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0.6473</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0.0256</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0.0233</w:t>
            </w:r>
          </w:p>
        </w:tc>
      </w:tr>
      <w:tr>
        <w:trPr/>
        <w:tc>
          <w:tcPr>
            <w:tcW w:w="3893"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 dominante con sesgo progresivo (ST-BENCH-16)</w:t>
            </w:r>
          </w:p>
        </w:tc>
        <w:tc>
          <w:tcPr>
            <w:tcW w:w="165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0.3463</w:t>
            </w:r>
          </w:p>
        </w:tc>
        <w:tc>
          <w:tcPr>
            <w:tcW w:w="1965"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0.4462</w:t>
            </w:r>
          </w:p>
        </w:tc>
        <w:tc>
          <w:tcPr>
            <w:tcW w:w="2122"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0.0215</w:t>
            </w:r>
          </w:p>
        </w:tc>
      </w:tr>
    </w:tbl>
    <w:p>
      <w:pPr>
        <w:pStyle w:val="BodyText"/>
        <w:rPr/>
      </w:pPr>
      <w:r>
        <w:rPr/>
        <w:t>En el estudio Monte Carlo de referencia (100 corridas de sesgo abrupto con instante, magnitud y ruido aleatorios) se obtuvieron las siguientes tasas de éxito:</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3278"/>
        <w:gridCol w:w="2588"/>
        <w:gridCol w:w="2118"/>
        <w:gridCol w:w="1647"/>
      </w:tblGrid>
      <w:tr>
        <w:trPr>
          <w:tblHeader w:val="true"/>
        </w:trPr>
        <w:tc>
          <w:tcPr>
            <w:tcW w:w="327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Método</w:t>
            </w:r>
          </w:p>
        </w:tc>
        <w:tc>
          <w:tcPr>
            <w:tcW w:w="25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éxito (RMSE &lt;= 0,05 m)</w:t>
            </w:r>
          </w:p>
        </w:tc>
        <w:tc>
          <w:tcPr>
            <w:tcW w:w="211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Tasa de divergencia</w:t>
            </w:r>
          </w:p>
        </w:tc>
        <w:tc>
          <w:tcPr>
            <w:tcW w:w="1647"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Corridas</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Ponderación por inverso de varianza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Filtro de Kalman (R nominal)</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0.14</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adaptativo (R Sage-Husa)</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KF con compuerta NIS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r>
        <w:trPr/>
        <w:tc>
          <w:tcPr>
            <w:tcW w:w="327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KF (dos primeros momentos)</w:t>
            </w:r>
          </w:p>
        </w:tc>
        <w:tc>
          <w:tcPr>
            <w:tcW w:w="25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c>
          <w:tcPr>
            <w:tcW w:w="211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0.00</w:t>
            </w:r>
          </w:p>
        </w:tc>
        <w:tc>
          <w:tcPr>
            <w:tcW w:w="1647"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100</w:t>
            </w:r>
          </w:p>
        </w:tc>
      </w:tr>
    </w:tbl>
    <w:p>
      <w:pPr>
        <w:pStyle w:val="CaptionedFigure"/>
        <w:jc w:val="center"/>
        <w:rPr/>
      </w:pPr>
      <w:r>
        <w:rPr/>
        <w:drawing>
          <wp:inline distT="0" distB="0" distL="0" distR="0">
            <wp:extent cx="5334000" cy="2844800"/>
            <wp:effectExtent l="0" t="0" r="0" b="0"/>
            <wp:docPr id="2" name="Image2" descr="Figura 2. Distribución del RMSE en el estudio Monte Carlo de referencia (sesgo abrupto con instante, magnitud y ruido aleatorios); la línea de la especificación es 0,05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Figura 2. Distribución del RMSE en el estudio Monte Carlo de referencia (sesgo abrupto con instante, magnitud y ruido aleatorios); la línea de la especificación es 0,05 m"/>
                    <pic:cNvPicPr>
                      <a:picLocks noChangeAspect="1" noChangeArrowheads="1"/>
                    </pic:cNvPicPr>
                  </pic:nvPicPr>
                  <pic:blipFill>
                    <a:blip r:embed="rId3"/>
                    <a:stretch>
                      <a:fillRect/>
                    </a:stretch>
                  </pic:blipFill>
                  <pic:spPr bwMode="auto">
                    <a:xfrm>
                      <a:off x="0" y="0"/>
                      <a:ext cx="5334000" cy="2844800"/>
                    </a:xfrm>
                    <a:prstGeom prst="rect">
                      <a:avLst/>
                    </a:prstGeom>
                  </pic:spPr>
                </pic:pic>
              </a:graphicData>
            </a:graphic>
          </wp:inline>
        </w:drawing>
      </w:r>
    </w:p>
    <w:p>
      <w:pPr>
        <w:pStyle w:val="ImageCaption"/>
        <w:jc w:val="center"/>
        <w:rPr/>
      </w:pPr>
      <w:r>
        <w:rPr>
          <w:i/>
          <w:sz w:val="18"/>
        </w:rPr>
        <w:t>Figura 2. Distribución del RMSE en el estudio Monte Carlo de referencia (sesgo abrupto con instante, magnitud y ruido aleatorios); la línea de la especificación es 0,05 m</w:t>
      </w:r>
    </w:p>
    <w:p>
      <w:pPr>
        <w:pStyle w:val="BodyText"/>
        <w:rPr/>
      </w:pPr>
      <w:r>
        <w:rPr/>
        <w:t>Las tablas completas, la validación del filtro, la envolvente de robustez y el análisis de sensibilidad se presentan en el Manual Técnico (capítulo 26).</w:t>
      </w:r>
    </w:p>
    <w:p>
      <w:pPr>
        <w:pStyle w:val="Heading1"/>
        <w:rPr/>
      </w:pPr>
      <w:bookmarkStart w:id="55" w:name="__RefHeading___Toc1932_1293274263"/>
      <w:bookmarkStart w:id="56" w:name="impacto-y-utilización"/>
      <w:bookmarkEnd w:id="55"/>
      <w:r>
        <w:rPr/>
        <w:t>13. Impacto y utilización</w:t>
      </w:r>
    </w:p>
    <w:p>
      <w:pPr>
        <w:pStyle w:val="FirstParagraph"/>
        <w:rPr/>
      </w:pPr>
      <w:r>
        <w:rPr/>
        <w:t>El impacto debe distinguirse entre el potencial derivado de sus capacidades técnicas y la evidencia verificable de uso. La versión 1.0.0 documenta una plataforma funcional y validada; a la fecha de este documento aún no existe evidencia de utilización efectiva (proyectos, publicaciones o cursos que la hayan empleado), por lo que el impacto descrito a continuación corresponde al potencial de uso de la plataforma.</w:t>
      </w:r>
    </w:p>
    <w:p>
      <w:pPr>
        <w:pStyle w:val="BodyText"/>
        <w:rPr/>
      </w:pPr>
      <w:r>
        <w:rPr>
          <w:b/>
          <w:bCs/>
        </w:rPr>
        <w:t>Investigación.</w:t>
      </w:r>
      <w:r>
        <w:rPr/>
        <w:t xml:space="preserve"> Proporciona un entorno reproducible para estudiar métodos adaptativos de fusión bajo degradación con valor verdadero conocido y comparación justa; los resultados de referencia ya permiten observaciones cuantitativas, por ejemplo, que la confianza basada solo en innovaciones individuales atribuye erróneamente el fallo cuando el sensor degradado domina la fusión, y que la referencia de consenso de SensorTrust corrige este caso (ST-BENCH-16).</w:t>
      </w:r>
    </w:p>
    <w:p>
      <w:pPr>
        <w:pStyle w:val="BodyText"/>
        <w:rPr/>
      </w:pPr>
      <w:r>
        <w:rPr>
          <w:b/>
          <w:bCs/>
        </w:rPr>
        <w:t>Docencia.</w:t>
      </w:r>
      <w:r>
        <w:rPr/>
        <w:t xml:space="preserve"> Permite experimentar con filtrado de Kalman, consistencia (NIS/NEES), detección de fallos, Monte Carlo y sensibilidad sin laboratorio ni hardware.</w:t>
      </w:r>
    </w:p>
    <w:p>
      <w:pPr>
        <w:pStyle w:val="BodyText"/>
        <w:rPr/>
      </w:pPr>
      <w:r>
        <w:rPr>
          <w:b/>
          <w:bCs/>
        </w:rPr>
        <w:t>Transferencia.</w:t>
      </w:r>
      <w:r>
        <w:rPr/>
        <w:t xml:space="preserve"> El modelo lineal personalizado y la importación de datos externos permiten evaluar estrategias de confiabilidad de sensores para aplicaciones específicas antes de implementarlas.</w:t>
      </w:r>
      <w:bookmarkEnd w:id="56"/>
    </w:p>
    <w:p>
      <w:pPr>
        <w:pStyle w:val="Heading1"/>
        <w:rPr/>
      </w:pPr>
      <w:bookmarkStart w:id="57" w:name="__RefHeading___Toc1934_1293274263"/>
      <w:bookmarkStart w:id="58" w:name="contribución-al-estado-del-arte"/>
      <w:bookmarkEnd w:id="57"/>
      <w:r>
        <w:rPr/>
        <w:t>14. Contribución al estado del arte</w:t>
      </w:r>
    </w:p>
    <w:p>
      <w:pPr>
        <w:pStyle w:val="Heading2"/>
        <w:rPr/>
      </w:pPr>
      <w:bookmarkStart w:id="59" w:name="__RefHeading___Toc1936_1293274263"/>
      <w:bookmarkStart w:id="60" w:name="problema-abordado"/>
      <w:bookmarkEnd w:id="59"/>
      <w:r>
        <w:rPr/>
        <w:t>14.1 Problema abordado</w:t>
      </w:r>
    </w:p>
    <w:p>
      <w:pPr>
        <w:pStyle w:val="FirstParagraph"/>
        <w:rPr/>
      </w:pPr>
      <w:bookmarkStart w:id="61" w:name="problema-abordado"/>
      <w:r>
        <w:rPr/>
        <w:t>Los algoritmos de filtrado de Kalman, filtrado adaptativo por emparejamiento de covarianza e intersección de covarianzas están ampliamente documentados, pero su evaluación bajo degradación no estacionaria requiere infraestructura experimental: valor verdadero, degradaciones con perfiles temporales controlados y etiquetas de fallo, comparación sobre datos idénticos, métricas de confianza y detección, estudios Monte Carlo, robustez, sensibilidad y reproducibilidad.</w:t>
      </w:r>
      <w:bookmarkEnd w:id="61"/>
    </w:p>
    <w:p>
      <w:pPr>
        <w:pStyle w:val="Heading2"/>
        <w:rPr/>
      </w:pPr>
      <w:bookmarkStart w:id="62" w:name="__RefHeading___Toc1938_1293274263"/>
      <w:bookmarkStart w:id="63" w:name="soluciones-relacionadas"/>
      <w:bookmarkEnd w:id="62"/>
      <w:r>
        <w:rPr/>
        <w:t>14.2 Soluciones relacionadas</w:t>
      </w:r>
    </w:p>
    <w:tbl>
      <w:tblPr>
        <w:tblStyle w:val="Table"/>
        <w:tblW w:w="9632" w:type="dxa"/>
        <w:jc w:val="center"/>
        <w:tblInd w:w="0" w:type="dxa"/>
        <w:tblLayout w:type="fixed"/>
        <w:tblCellMar>
          <w:top w:w="0" w:type="dxa"/>
          <w:left w:w="108" w:type="dxa"/>
          <w:bottom w:w="0" w:type="dxa"/>
          <w:right w:w="108" w:type="dxa"/>
        </w:tblCellMar>
        <w:tblLook w:val="0020" w:noHBand="0" w:noVBand="0" w:firstColumn="0" w:lastRow="0" w:lastColumn="0" w:firstRow="1"/>
      </w:tblPr>
      <w:tblGrid>
        <w:gridCol w:w="1788"/>
        <w:gridCol w:w="1789"/>
        <w:gridCol w:w="1788"/>
        <w:gridCol w:w="1431"/>
        <w:gridCol w:w="1789"/>
        <w:gridCol w:w="1046"/>
      </w:tblGrid>
      <w:tr>
        <w:trPr>
          <w:tblHeader w:val="true"/>
        </w:trPr>
        <w:tc>
          <w:tcPr>
            <w:tcW w:w="17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Solución</w:t>
            </w:r>
          </w:p>
        </w:tc>
        <w:tc>
          <w:tcPr>
            <w:tcW w:w="17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Enfoque</w:t>
            </w:r>
          </w:p>
        </w:tc>
        <w:tc>
          <w:tcPr>
            <w:tcW w:w="1788"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Simulación de degradaciones con valor verdadero</w:t>
            </w:r>
          </w:p>
        </w:tc>
        <w:tc>
          <w:tcPr>
            <w:tcW w:w="1431"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Estimación de confianza por sensor</w:t>
            </w:r>
          </w:p>
        </w:tc>
        <w:tc>
          <w:tcPr>
            <w:tcW w:w="1789"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Estudios Monte Carlo, robustez y sensibilidad integrados</w:t>
            </w:r>
          </w:p>
        </w:tc>
        <w:tc>
          <w:tcPr>
            <w:tcW w:w="1046" w:type="dxa"/>
            <w:tcBorders>
              <w:top w:val="single" w:sz="4" w:space="0" w:color="9E9C95"/>
              <w:left w:val="single" w:sz="4" w:space="0" w:color="9E9C95"/>
              <w:bottom w:val="single" w:sz="6" w:space="0" w:color="000000"/>
              <w:right w:val="single" w:sz="4" w:space="0" w:color="9E9C95"/>
            </w:tcBorders>
            <w:shd w:color="auto" w:fill="DCE8F7" w:val="clear"/>
            <w:vAlign w:val="bottom"/>
          </w:tcPr>
          <w:p>
            <w:pPr>
              <w:pStyle w:val="Compact"/>
              <w:widowControl/>
              <w:spacing w:before="36" w:after="36"/>
              <w:jc w:val="left"/>
              <w:rPr>
                <w:rFonts w:eastAsia="" w:cs=""/>
                <w:kern w:val="0"/>
                <w:szCs w:val="24"/>
                <w:lang w:val="en-US" w:eastAsia="zh-CN" w:bidi="ar-SA"/>
              </w:rPr>
            </w:pPr>
            <w:r>
              <w:rPr>
                <w:rFonts w:eastAsia="" w:cs=""/>
                <w:b/>
                <w:kern w:val="0"/>
                <w:sz w:val="17"/>
                <w:szCs w:val="24"/>
                <w:lang w:val="en-US" w:eastAsia="zh-CN" w:bidi="ar-SA"/>
              </w:rPr>
              <w:t>Interfaz gráfica</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FilterPy [23]</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biblioteca de filtros en Python</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Stone Soup [22]</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marco abierto de seguimiento y estimación con simuladores y métricas</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 como foco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parcial (métricas)</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MATLAB Sensor Fusion and Tracking Toolbox [24]</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producto comercial de fusión y seguimiento</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 como foco</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no identificado</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aplicaciones específicas</w:t>
            </w:r>
          </w:p>
        </w:tc>
      </w:tr>
      <w:tr>
        <w:trPr/>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SensorTrust Fusion (este trabajo)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plataforma experimental de fusión bajo degradación</w:t>
            </w:r>
          </w:p>
        </w:tc>
        <w:tc>
          <w:tcPr>
            <w:tcW w:w="1788"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 15 tipos y 8 perfiles</w:t>
            </w:r>
          </w:p>
        </w:tc>
        <w:tc>
          <w:tcPr>
            <w:tcW w:w="1431"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 (dos primeros momentos, consenso)</w:t>
            </w:r>
          </w:p>
        </w:tc>
        <w:tc>
          <w:tcPr>
            <w:tcW w:w="1789"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w:t>
            </w:r>
          </w:p>
        </w:tc>
        <w:tc>
          <w:tcPr>
            <w:tcW w:w="1046" w:type="dxa"/>
            <w:tcBorders>
              <w:top w:val="single" w:sz="4" w:space="0" w:color="9E9C95"/>
              <w:left w:val="single" w:sz="4" w:space="0" w:color="9E9C95"/>
              <w:bottom w:val="single" w:sz="4" w:space="0" w:color="9E9C95"/>
              <w:right w:val="single" w:sz="4" w:space="0" w:color="9E9C95"/>
            </w:tcBorders>
          </w:tcPr>
          <w:p>
            <w:pPr>
              <w:pStyle w:val="Compact"/>
              <w:widowControl/>
              <w:spacing w:before="36" w:after="36"/>
              <w:jc w:val="left"/>
              <w:rPr>
                <w:rFonts w:eastAsia="" w:cs=""/>
                <w:kern w:val="0"/>
                <w:szCs w:val="24"/>
                <w:lang w:val="en-US" w:eastAsia="zh-CN" w:bidi="ar-SA"/>
              </w:rPr>
            </w:pPr>
            <w:r>
              <w:rPr>
                <w:rFonts w:eastAsia="" w:cs=""/>
                <w:kern w:val="0"/>
                <w:sz w:val="17"/>
                <w:szCs w:val="24"/>
                <w:lang w:val="en-US" w:eastAsia="zh-CN" w:bidi="ar-SA"/>
              </w:rPr>
              <w:t>sí, bilingüe</w:t>
            </w:r>
          </w:p>
        </w:tc>
      </w:tr>
    </w:tbl>
    <w:p>
      <w:pPr>
        <w:pStyle w:val="BodyText"/>
        <w:rPr/>
      </w:pPr>
      <w:bookmarkStart w:id="64" w:name="soluciones-relacionadas"/>
      <w:r>
        <w:rPr/>
        <w:t>La comparación se limita a lo identificado en la documentación consultada; una ausencia significa «no identificado en la fuente», no necesariamente que la solución carezca de la capacidad.</w:t>
      </w:r>
      <w:bookmarkEnd w:id="64"/>
    </w:p>
    <w:p>
      <w:pPr>
        <w:pStyle w:val="Heading2"/>
        <w:rPr/>
      </w:pPr>
      <w:bookmarkStart w:id="65" w:name="__RefHeading___Toc1940_1293274263"/>
      <w:bookmarkStart w:id="66" w:name="aporte"/>
      <w:bookmarkEnd w:id="65"/>
      <w:r>
        <w:rPr/>
        <w:t>14.3 Aporte</w:t>
      </w:r>
    </w:p>
    <w:p>
      <w:pPr>
        <w:pStyle w:val="FirstParagraph"/>
        <w:rPr/>
      </w:pPr>
      <w:bookmarkStart w:id="67" w:name="contribución-al-estado-del-arte"/>
      <w:bookmarkStart w:id="68" w:name="aporte"/>
      <w:r>
        <w:rPr/>
        <w:t>SensorTrust Fusion integra en una sola plataforma abierta y reproducible la simulación de degradaciones no estacionarias con valor verdadero de fallos, la estimación de confianza basada en los dos primeros momentos de la innovación con referencia de consenso, la comparación justa de métodos (incluidos oráculos claramente etiquetados) y los estudios Monte Carlo, de robustez y de sensibilidad, sin requerir hardware.</w:t>
      </w:r>
      <w:bookmarkEnd w:id="67"/>
      <w:bookmarkEnd w:id="68"/>
    </w:p>
    <w:p>
      <w:pPr>
        <w:pStyle w:val="Heading1"/>
        <w:rPr/>
      </w:pPr>
      <w:bookmarkStart w:id="69" w:name="__RefHeading___Toc1942_1293274263"/>
      <w:bookmarkStart w:id="70" w:name="aporte-del-autor"/>
      <w:bookmarkEnd w:id="69"/>
      <w:r>
        <w:rPr/>
        <w:t>15. Aporte del autor</w:t>
      </w:r>
    </w:p>
    <w:p>
      <w:pPr>
        <w:pStyle w:val="FirstParagraph"/>
        <w:rPr/>
      </w:pPr>
      <w:bookmarkStart w:id="71" w:name="aporte-del-autor"/>
      <w:r>
        <w:rPr/>
        <w:t>Francisco Javier Burgos Flórez es el único autor de SensorTrust Fusion v1.0.0: concepción, formulación científica, diseño e implementación del software, validación y documentación.</w:t>
      </w:r>
      <w:bookmarkEnd w:id="71"/>
    </w:p>
    <w:p>
      <w:pPr>
        <w:pStyle w:val="Heading1"/>
        <w:rPr/>
      </w:pPr>
      <w:bookmarkStart w:id="72" w:name="__RefHeading___Toc1944_1293274263"/>
      <w:bookmarkStart w:id="73" w:name="referencias"/>
      <w:bookmarkEnd w:id="72"/>
      <w:r>
        <w:rPr/>
        <w:t>Referencias</w:t>
      </w:r>
    </w:p>
    <w:p>
      <w:pPr>
        <w:pStyle w:val="FirstParagraph"/>
        <w:rPr/>
      </w:pPr>
      <w:r>
        <w:rPr/>
        <w:t xml:space="preserve">[1] R. E. Kalman, “A new approach to linear filtering and prediction problems,” </w:t>
      </w:r>
      <w:r>
        <w:rPr>
          <w:i/>
          <w:iCs/>
        </w:rPr>
        <w:t>Journal of Basic Engineering</w:t>
      </w:r>
      <w:r>
        <w:rPr/>
        <w:t>, vol. 82, no. 1, pp. 35–45, 1960.</w:t>
      </w:r>
    </w:p>
    <w:p>
      <w:pPr>
        <w:pStyle w:val="BodyText"/>
        <w:rPr/>
      </w:pPr>
      <w:r>
        <w:rPr/>
        <w:t xml:space="preserve">[2] Y. Bar-Shalom, X. R. Li y T. Kirubarajan, </w:t>
      </w:r>
      <w:r>
        <w:rPr>
          <w:i/>
          <w:iCs/>
        </w:rPr>
        <w:t>Estimation with Applications to Tracking and Navigation</w:t>
      </w:r>
      <w:r>
        <w:rPr/>
        <w:t>. New York: Wiley, 2001.</w:t>
      </w:r>
    </w:p>
    <w:p>
      <w:pPr>
        <w:pStyle w:val="BodyText"/>
        <w:rPr/>
      </w:pPr>
      <w:r>
        <w:rPr/>
        <w:t xml:space="preserve">[3] B. Khaleghi, A. Khamis, F. O. Karray y S. N. Razavi, “Multisensor data fusion: A review of the state-of-the-art,” </w:t>
      </w:r>
      <w:r>
        <w:rPr>
          <w:i/>
          <w:iCs/>
        </w:rPr>
        <w:t>Information Fusion</w:t>
      </w:r>
      <w:r>
        <w:rPr/>
        <w:t>, vol. 14, no. 1, pp. 28–44, 2013, doi: 10.1016/j.inffus.2011.08.001.</w:t>
      </w:r>
    </w:p>
    <w:p>
      <w:pPr>
        <w:pStyle w:val="BodyText"/>
        <w:rPr/>
      </w:pPr>
      <w:r>
        <w:rPr/>
        <w:t xml:space="preserve">[4] D. J. Yeong, G. Velasco-Hernandez, J. Barry y J. Walsh, “Sensor and sensor fusion technology in autonomous vehicles: A review,” </w:t>
      </w:r>
      <w:r>
        <w:rPr>
          <w:i/>
          <w:iCs/>
        </w:rPr>
        <w:t>Sensors</w:t>
      </w:r>
      <w:r>
        <w:rPr/>
        <w:t>, vol. 21, no. 6, art. 2140, 2021, doi: 10.3390/s21062140.</w:t>
      </w:r>
    </w:p>
    <w:p>
      <w:pPr>
        <w:pStyle w:val="BodyText"/>
        <w:rPr/>
      </w:pPr>
      <w:r>
        <w:rPr/>
        <w:t xml:space="preserve">[5] J. Fayyad, M. A. Jaradat, D. Gruyer y H. Najjaran, “Deep learning sensor fusion for autonomous vehicle perception and localization: A review,” </w:t>
      </w:r>
      <w:r>
        <w:rPr>
          <w:i/>
          <w:iCs/>
        </w:rPr>
        <w:t>Sensors</w:t>
      </w:r>
      <w:r>
        <w:rPr/>
        <w:t>, vol. 20, no. 15, art. 4220, 2020, doi: 10.3390/s20154220.</w:t>
      </w:r>
    </w:p>
    <w:p>
      <w:pPr>
        <w:pStyle w:val="BodyText"/>
        <w:rPr/>
      </w:pPr>
      <w:r>
        <w:rPr/>
        <w:t xml:space="preserve">[6] A. Tsanousa, E. Bektsis, C. Kyriakopoulos, A. Gómez González, U. Leturiondo, I. Gialampoukidis, A. Karakostas, S. Vrochidis e I. Kompatsiaris, “A review of multisensor data fusion solutions in smart manufacturing: Systems and trends,” </w:t>
      </w:r>
      <w:r>
        <w:rPr>
          <w:i/>
          <w:iCs/>
        </w:rPr>
        <w:t>Sensors</w:t>
      </w:r>
      <w:r>
        <w:rPr/>
        <w:t>, vol. 22, no. 5, art. 1734, 2022, doi: 10.3390/s22051734.</w:t>
      </w:r>
    </w:p>
    <w:p>
      <w:pPr>
        <w:pStyle w:val="BodyText"/>
        <w:rPr/>
      </w:pPr>
      <w:r>
        <w:rPr/>
        <w:t xml:space="preserve">[7] S. J. Julier y J. K. Uhlmann, “Unscented filtering and nonlinear estimation,” </w:t>
      </w:r>
      <w:r>
        <w:rPr>
          <w:i/>
          <w:iCs/>
        </w:rPr>
        <w:t>Proceedings of the IEEE</w:t>
      </w:r>
      <w:r>
        <w:rPr/>
        <w:t>, vol. 92, no. 3, pp. 401–422, 2004, doi: 10.1109/JPROC.2003.823141.</w:t>
      </w:r>
    </w:p>
    <w:p>
      <w:pPr>
        <w:pStyle w:val="BodyText"/>
        <w:rPr/>
      </w:pPr>
      <w:r>
        <w:rPr/>
        <w:t xml:space="preserve">[8] A. P. Sage y G. W. Husa, “Adaptive filtering with unknown prior statistics,” en </w:t>
      </w:r>
      <w:r>
        <w:rPr>
          <w:i/>
          <w:iCs/>
        </w:rPr>
        <w:t>Proc. Joint Automatic Control Conference</w:t>
      </w:r>
      <w:r>
        <w:rPr/>
        <w:t>, 1969, pp. 760–769.</w:t>
      </w:r>
    </w:p>
    <w:p>
      <w:pPr>
        <w:pStyle w:val="BodyText"/>
        <w:rPr/>
      </w:pPr>
      <w:r>
        <w:rPr/>
        <w:t xml:space="preserve">[9] R. K. Mehra, “Approaches to adaptive filtering,” </w:t>
      </w:r>
      <w:r>
        <w:rPr>
          <w:i/>
          <w:iCs/>
        </w:rPr>
        <w:t>IEEE Transactions on Automatic Control</w:t>
      </w:r>
      <w:r>
        <w:rPr/>
        <w:t>, vol. 17, no. 5, pp. 693–698, 1972, doi: 10.1109/TAC.1972.1100100.</w:t>
      </w:r>
    </w:p>
    <w:p>
      <w:pPr>
        <w:pStyle w:val="BodyText"/>
        <w:rPr/>
      </w:pPr>
      <w:r>
        <w:rPr/>
        <w:t xml:space="preserve">[10] A. H. Mohamed y K. P. Schwarz, “Adaptive Kalman filtering for INS/GPS,” </w:t>
      </w:r>
      <w:r>
        <w:rPr>
          <w:i/>
          <w:iCs/>
        </w:rPr>
        <w:t>Journal of Geodesy</w:t>
      </w:r>
      <w:r>
        <w:rPr/>
        <w:t>, vol. 73, no. 4, pp. 193–203, 1999, doi: 10.1007/s001900050236.</w:t>
      </w:r>
    </w:p>
    <w:p>
      <w:pPr>
        <w:pStyle w:val="BodyText"/>
        <w:rPr/>
      </w:pPr>
      <w:r>
        <w:rPr/>
        <w:t xml:space="preserve">[11] S. Särkkä y A. Nummenmaa, “Recursive noise adaptive Kalman filtering by variational Bayesian approximations,” </w:t>
      </w:r>
      <w:r>
        <w:rPr>
          <w:i/>
          <w:iCs/>
        </w:rPr>
        <w:t>IEEE Transactions on Automatic Control</w:t>
      </w:r>
      <w:r>
        <w:rPr/>
        <w:t>, vol. 54, no. 3, pp. 596–600, 2009, doi: 10.1109/TAC.2008.2008348.</w:t>
      </w:r>
    </w:p>
    <w:p>
      <w:pPr>
        <w:pStyle w:val="BodyText"/>
        <w:rPr/>
      </w:pPr>
      <w:r>
        <w:rPr/>
        <w:t xml:space="preserve">[12] Y. Huang, Y. Zhang, Z. Wu, N. Li y J. Chambers, “A novel adaptive Kalman filter with inaccurate process and measurement noise covariance matrices,” </w:t>
      </w:r>
      <w:r>
        <w:rPr>
          <w:i/>
          <w:iCs/>
        </w:rPr>
        <w:t>IEEE Transactions on Automatic Control</w:t>
      </w:r>
      <w:r>
        <w:rPr/>
        <w:t>, vol. 63, no. 2, pp. 594–601, 2018, doi: 10.1109/TAC.2017.2730480.</w:t>
      </w:r>
    </w:p>
    <w:p>
      <w:pPr>
        <w:pStyle w:val="BodyText"/>
        <w:rPr/>
      </w:pPr>
      <w:r>
        <w:rPr/>
        <w:t xml:space="preserve">[13] T. Kruse et al., “Adaptive Kalman filtering: Measurement and process noise covariance estimation using Kalman smoothing,” </w:t>
      </w:r>
      <w:r>
        <w:rPr>
          <w:i/>
          <w:iCs/>
        </w:rPr>
        <w:t>IEEE Access</w:t>
      </w:r>
      <w:r>
        <w:rPr/>
        <w:t>, vol. 13, 2025, doi: 10.1109/ACCESS.2025.3528348.</w:t>
      </w:r>
    </w:p>
    <w:p>
      <w:pPr>
        <w:pStyle w:val="BodyText"/>
        <w:rPr/>
      </w:pPr>
      <w:r>
        <w:rPr/>
        <w:t xml:space="preserve">[14] X. Hou, S. Zhao, J. Hu y H. Lan, “Noise-adaptive state estimators with change-point detection,” </w:t>
      </w:r>
      <w:r>
        <w:rPr>
          <w:i/>
          <w:iCs/>
        </w:rPr>
        <w:t>Sensors</w:t>
      </w:r>
      <w:r>
        <w:rPr/>
        <w:t>, vol. 24, no. 14, art. 4585, 2024, doi: 10.3390/s24144585.</w:t>
      </w:r>
    </w:p>
    <w:p>
      <w:pPr>
        <w:pStyle w:val="BodyText"/>
        <w:rPr/>
      </w:pPr>
      <w:r>
        <w:rPr/>
        <w:t xml:space="preserve">[15] B. Brumback y M. Srinath, “A chi-square test for fault-detection in Kalman filters,” </w:t>
      </w:r>
      <w:r>
        <w:rPr>
          <w:i/>
          <w:iCs/>
        </w:rPr>
        <w:t>IEEE Transactions on Automatic Control</w:t>
      </w:r>
      <w:r>
        <w:rPr/>
        <w:t>, vol. 32, no. 6, pp. 552–554, 1987, doi: 10.1109/TAC.1987.1104658.</w:t>
      </w:r>
    </w:p>
    <w:p>
      <w:pPr>
        <w:pStyle w:val="BodyText"/>
        <w:rPr/>
      </w:pPr>
      <w:r>
        <w:rPr/>
        <w:t xml:space="preserve">[16] Z. Gao, C. Cecati y S. X. Ding, “A survey of fault diagnosis and fault-tolerant techniques—Part I: Fault diagnosis with model-based and signal-based approaches,” </w:t>
      </w:r>
      <w:r>
        <w:rPr>
          <w:i/>
          <w:iCs/>
        </w:rPr>
        <w:t>IEEE Transactions on Industrial Electronics</w:t>
      </w:r>
      <w:r>
        <w:rPr/>
        <w:t>, vol. 62, no. 6, pp. 3757–3767, 2015, doi: 10.1109/TIE.2015.2417501.</w:t>
      </w:r>
    </w:p>
    <w:p>
      <w:pPr>
        <w:pStyle w:val="BodyText"/>
        <w:rPr/>
      </w:pPr>
      <w:r>
        <w:rPr/>
        <w:t xml:space="preserve">[17] N. Trapani y L. Longo, “Fault detection and diagnosis methods for sensors systems: A scientific literature review,” </w:t>
      </w:r>
      <w:r>
        <w:rPr>
          <w:i/>
          <w:iCs/>
        </w:rPr>
        <w:t>IFAC-PapersOnLine</w:t>
      </w:r>
      <w:r>
        <w:rPr/>
        <w:t>, vol. 56, no. 2, pp. 1253–1263, 2023, doi: 10.1016/j.ifacol.2023.10.1749.</w:t>
      </w:r>
    </w:p>
    <w:p>
      <w:pPr>
        <w:pStyle w:val="BodyText"/>
        <w:rPr/>
      </w:pPr>
      <w:r>
        <w:rPr/>
        <w:t xml:space="preserve">[18] M. Kheirandish, E. A. Yazdi, H. Mohammadi y M. Mohammadi, “A fault-tolerant sensor fusion in mobile robots using multiple model Kalman filters,” </w:t>
      </w:r>
      <w:r>
        <w:rPr>
          <w:i/>
          <w:iCs/>
        </w:rPr>
        <w:t>Robotics and Autonomous Systems</w:t>
      </w:r>
      <w:r>
        <w:rPr/>
        <w:t>, vol. 161, 2023.</w:t>
      </w:r>
    </w:p>
    <w:p>
      <w:pPr>
        <w:pStyle w:val="BodyText"/>
        <w:rPr/>
      </w:pPr>
      <w:r>
        <w:rPr/>
        <w:t xml:space="preserve">[19] M. Kordestani, M. Saif, M. E. Orchard, R. Razavi-Far y K. Khorasani, “Failure prognosis and applications—A survey of recent literature,” </w:t>
      </w:r>
      <w:r>
        <w:rPr>
          <w:i/>
          <w:iCs/>
        </w:rPr>
        <w:t>IEEE Transactions on Reliability</w:t>
      </w:r>
      <w:r>
        <w:rPr/>
        <w:t>, vol. 70, no. 2, pp. 728–748, 2021, doi: 10.1109/TR.2019.2930195.</w:t>
      </w:r>
    </w:p>
    <w:p>
      <w:pPr>
        <w:pStyle w:val="BodyText"/>
        <w:rPr/>
      </w:pPr>
      <w:r>
        <w:rPr/>
        <w:t xml:space="preserve">[20] S. J. Julier y J. K. Uhlmann, “A non-divergent estimation algorithm in the presence of unknown correlations,” en </w:t>
      </w:r>
      <w:r>
        <w:rPr>
          <w:i/>
          <w:iCs/>
        </w:rPr>
        <w:t>Proc. American Control Conference</w:t>
      </w:r>
      <w:r>
        <w:rPr/>
        <w:t>, 1997, pp. 2369–2373.</w:t>
      </w:r>
    </w:p>
    <w:p>
      <w:pPr>
        <w:pStyle w:val="BodyText"/>
        <w:rPr/>
      </w:pPr>
      <w:r>
        <w:rPr/>
        <w:t xml:space="preserve">[21] R. Forsling, B. Noack y G. Hendeby, “A quarter century of covariance intersection: Correlations still unknown?,” </w:t>
      </w:r>
      <w:r>
        <w:rPr>
          <w:i/>
          <w:iCs/>
        </w:rPr>
        <w:t>IEEE Control Systems Magazine</w:t>
      </w:r>
      <w:r>
        <w:rPr/>
        <w:t>, vol. 44, no. 2, pp. 81–105, 2024, doi: 10.1109/MCS.2024.3358658.</w:t>
      </w:r>
    </w:p>
    <w:p>
      <w:pPr>
        <w:pStyle w:val="BodyText"/>
        <w:rPr/>
      </w:pPr>
      <w:r>
        <w:rPr/>
        <w:t xml:space="preserve">[22] J. Barr et al., “Stone Soup open source framework for tracking and state estimation: Enhancements and applications,” en </w:t>
      </w:r>
      <w:r>
        <w:rPr>
          <w:i/>
          <w:iCs/>
        </w:rPr>
        <w:t>Proc. SPIE 12122, Signal Processing, Sensor/Information Fusion, and Target Recognition XXXI</w:t>
      </w:r>
      <w:r>
        <w:rPr/>
        <w:t>, art. 1212205, 2022, doi: 10.1117/12.2618495.</w:t>
      </w:r>
    </w:p>
    <w:p>
      <w:pPr>
        <w:pStyle w:val="BodyText"/>
        <w:rPr/>
      </w:pPr>
      <w:r>
        <w:rPr/>
        <w:t xml:space="preserve">[23] R. R. Labbe, </w:t>
      </w:r>
      <w:r>
        <w:rPr>
          <w:i/>
          <w:iCs/>
        </w:rPr>
        <w:t>FilterPy: Kalman filters and other optimal and non-optimal estimation filters in Python</w:t>
      </w:r>
      <w:r>
        <w:rPr/>
        <w:t xml:space="preserve"> (software). Disponible: https://github.com/rlabbe/filterpy</w:t>
      </w:r>
    </w:p>
    <w:p>
      <w:pPr>
        <w:pStyle w:val="BodyText"/>
        <w:rPr/>
      </w:pPr>
      <w:r>
        <w:rPr/>
        <w:t xml:space="preserve">[24] The MathWorks, Inc., </w:t>
      </w:r>
      <w:r>
        <w:rPr>
          <w:i/>
          <w:iCs/>
        </w:rPr>
        <w:t>Sensor Fusion and Tracking Toolbox</w:t>
      </w:r>
      <w:r>
        <w:rPr/>
        <w:t xml:space="preserve"> (software). Disponible: https://www.mathworks.com/products/sensor-fusion-and-tracking.html</w:t>
      </w:r>
    </w:p>
    <w:p>
      <w:pPr>
        <w:pStyle w:val="BodyText"/>
        <w:rPr/>
      </w:pPr>
      <w:r>
        <w:rPr/>
        <w:t xml:space="preserve">[25] A. Saltelli, M. Ratto, T. Andres, F. Campolongo, J. Cariboni, D. Gatelli, M. Saisana y S. Tarantola, </w:t>
      </w:r>
      <w:r>
        <w:rPr>
          <w:i/>
          <w:iCs/>
        </w:rPr>
        <w:t>Global Sensitivity Analysis: The Primer</w:t>
      </w:r>
      <w:r>
        <w:rPr/>
        <w:t>. Chichester: Wiley, 2008.</w:t>
      </w:r>
    </w:p>
    <w:p>
      <w:pPr>
        <w:pStyle w:val="BodyText"/>
        <w:rPr/>
      </w:pPr>
      <w:r>
        <w:rPr/>
        <w:t xml:space="preserve">[26] M. D. Morris, “Factorial sampling plans for preliminary computational experiments,” </w:t>
      </w:r>
      <w:r>
        <w:rPr>
          <w:i/>
          <w:iCs/>
        </w:rPr>
        <w:t>Technometrics</w:t>
      </w:r>
      <w:r>
        <w:rPr/>
        <w:t>, vol. 33, no. 2, pp. 161–174, 1991.</w:t>
      </w:r>
    </w:p>
    <w:p>
      <w:pPr>
        <w:pStyle w:val="BodyText"/>
        <w:rPr/>
      </w:pPr>
      <w:r>
        <w:rPr/>
        <w:t xml:space="preserve">[27] I. M. Sobol’, “Global sensitivity indices for nonlinear mathematical models and their Monte Carlo estimates,” </w:t>
      </w:r>
      <w:r>
        <w:rPr>
          <w:i/>
          <w:iCs/>
        </w:rPr>
        <w:t>Mathematics and Computers in Simulation</w:t>
      </w:r>
      <w:r>
        <w:rPr/>
        <w:t>, vol. 55, no. 1–3, pp. 271–280, 2001.</w:t>
      </w:r>
    </w:p>
    <w:p>
      <w:pPr>
        <w:pStyle w:val="BodyText"/>
        <w:rPr/>
      </w:pPr>
      <w:r>
        <w:rPr/>
        <w:t xml:space="preserve">[28] T. Iwanaga, W. Usher y J. Herman, “Toward SALib 2.0: Advancing the accessibility and interpretability of global sensitivity analyses,” </w:t>
      </w:r>
      <w:r>
        <w:rPr>
          <w:i/>
          <w:iCs/>
        </w:rPr>
        <w:t>Socio-Environmental Systems Modelling</w:t>
      </w:r>
      <w:r>
        <w:rPr/>
        <w:t>, vol. 4, art. 18155, 2022, doi: 10.18174/sesmo.18155.</w:t>
      </w:r>
    </w:p>
    <w:p>
      <w:pPr>
        <w:pStyle w:val="BodyText"/>
        <w:rPr/>
      </w:pPr>
      <w:r>
        <w:rPr/>
        <w:t xml:space="preserve">[29] F. Wilcoxon, “Individual comparisons by ranking methods,” </w:t>
      </w:r>
      <w:r>
        <w:rPr>
          <w:i/>
          <w:iCs/>
        </w:rPr>
        <w:t>Biometrics Bulletin</w:t>
      </w:r>
      <w:r>
        <w:rPr/>
        <w:t>, vol. 1, no. 6, pp. 80–83, 1945.</w:t>
      </w:r>
    </w:p>
    <w:p>
      <w:pPr>
        <w:pStyle w:val="BodyText"/>
        <w:rPr/>
      </w:pPr>
      <w:r>
        <w:rPr/>
        <w:t xml:space="preserve">[30] S. Holm, “A simple sequentially rejective multiple test procedure,” </w:t>
      </w:r>
      <w:r>
        <w:rPr>
          <w:i/>
          <w:iCs/>
        </w:rPr>
        <w:t>Scandinavian Journal of Statistics</w:t>
      </w:r>
      <w:r>
        <w:rPr/>
        <w:t>, vol. 6, no. 2, pp. 65–70, 1979.</w:t>
      </w:r>
    </w:p>
    <w:p>
      <w:pPr>
        <w:pStyle w:val="BodyText"/>
        <w:rPr/>
      </w:pPr>
      <w:r>
        <w:rPr/>
        <w:t xml:space="preserve">[31] G. K. Sandve, A. Nekrutenko, J. Taylor y E. Hovig, “Ten simple rules for reproducible computational research,” </w:t>
      </w:r>
      <w:r>
        <w:rPr>
          <w:i/>
          <w:iCs/>
        </w:rPr>
        <w:t>PLoS Computational Biology</w:t>
      </w:r>
      <w:r>
        <w:rPr/>
        <w:t>, vol. 9, no. 10, art. e1003285, 2013, doi: 10.1371/journal.pcbi.1003285.</w:t>
      </w:r>
    </w:p>
    <w:p>
      <w:pPr>
        <w:pStyle w:val="BodyText"/>
        <w:rPr/>
      </w:pPr>
      <w:r>
        <w:rPr/>
        <w:t xml:space="preserve">[32] M. Barker, N. P. Chue Hong, D. S. Katz, A.-L. Lamprecht, C. Martinez-Ortiz, F. Psomopoulos et al., “Introducing the FAIR principles for research software,” </w:t>
      </w:r>
      <w:r>
        <w:rPr>
          <w:i/>
          <w:iCs/>
        </w:rPr>
        <w:t>Scientific Data</w:t>
      </w:r>
      <w:r>
        <w:rPr/>
        <w:t>, vol. 9, art. 622, 2022, doi: 10.1038/s41597-022-01710-x.</w:t>
      </w:r>
    </w:p>
    <w:p>
      <w:pPr>
        <w:pStyle w:val="BodyText"/>
        <w:rPr/>
      </w:pPr>
      <w:r>
        <w:rPr/>
        <w:t xml:space="preserve">[33] C. R. Harris et al., “Array programming with NumPy,” </w:t>
      </w:r>
      <w:r>
        <w:rPr>
          <w:i/>
          <w:iCs/>
        </w:rPr>
        <w:t>Nature</w:t>
      </w:r>
      <w:r>
        <w:rPr/>
        <w:t>, vol. 585, pp. 357–362, 2020, doi: 10.1038/s41586-020-2649-2.</w:t>
      </w:r>
    </w:p>
    <w:p>
      <w:pPr>
        <w:pStyle w:val="BodyText"/>
        <w:rPr/>
      </w:pPr>
      <w:r>
        <w:rPr/>
        <w:t xml:space="preserve">[34] P. Virtanen et al., “SciPy 1.0: Fundamental algorithms for scientific computing in Python,” </w:t>
      </w:r>
      <w:r>
        <w:rPr>
          <w:i/>
          <w:iCs/>
        </w:rPr>
        <w:t>Nature Methods</w:t>
      </w:r>
      <w:r>
        <w:rPr/>
        <w:t>, vol. 17, no. 3, pp. 261–272, 2020, doi: 10.1038/s41592-019-0686-2.</w:t>
      </w:r>
    </w:p>
    <w:p>
      <w:pPr>
        <w:pStyle w:val="BodyText"/>
        <w:rPr/>
      </w:pPr>
      <w:r>
        <w:rPr/>
        <w:t xml:space="preserve">[35] F. Crameri, G. E. Shephard y P. J. Heron, “The misuse of colour in science communication,” </w:t>
      </w:r>
      <w:r>
        <w:rPr>
          <w:i/>
          <w:iCs/>
        </w:rPr>
        <w:t>Nature Communications</w:t>
      </w:r>
      <w:r>
        <w:rPr/>
        <w:t>, vol. 11, art. 5444, 2020, doi: 10.1038/s41467-020-19160-7.</w:t>
      </w:r>
    </w:p>
    <w:p>
      <w:pPr>
        <w:pStyle w:val="BodyText"/>
        <w:spacing w:before="180" w:after="180"/>
        <w:rPr/>
      </w:pPr>
      <w:r>
        <w:rPr/>
        <w:t xml:space="preserve">[36] SensorTrust Fusion v1.0.0, </w:t>
      </w:r>
      <w:r>
        <w:rPr>
          <w:i/>
          <w:iCs/>
        </w:rPr>
        <w:t>Manual de Usuario</w:t>
      </w:r>
      <w:r>
        <w:rPr/>
        <w:t xml:space="preserve"> y </w:t>
      </w:r>
      <w:r>
        <w:rPr>
          <w:i/>
          <w:iCs/>
        </w:rPr>
        <w:t>Manual Técnico</w:t>
      </w:r>
      <w:r>
        <w:rPr/>
        <w:t xml:space="preserve"> (documentos que acompañan esta descripción).</w:t>
      </w:r>
      <w:bookmarkEnd w:id="73"/>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304" w:right="1304" w:gutter="0" w:header="720" w:top="1247" w:footer="720" w:bottom="1247"/>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center"/>
      <w:rPr/>
    </w:pPr>
    <w:r>
      <w:rPr/>
      <w:fldChar w:fldCharType="begin"/>
    </w:r>
    <w:r>
      <w:rPr/>
      <w:instrText xml:space="preserve"> PAGE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Descripción del Software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jc w:val="right"/>
      <w:rPr/>
    </w:pPr>
    <w:r>
      <w:rPr>
        <w:color w:val="52514E"/>
        <w:sz w:val="16"/>
      </w:rPr>
      <w:t>SensorTrust Fusion v1.0.0 – Descripción del Software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1"/>
    <w:lvlOverride w:ilvl="0">
      <w:startOverride w:val="1"/>
    </w:lvlOverride>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 w:cs="" w:cstheme="minorBidi" w:eastAsiaTheme="minorEastAsia"/>
      <w:color w:val="auto"/>
      <w:kern w:val="0"/>
      <w:sz w:val="22"/>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b/>
      <w:color w:val="003E7E"/>
      <w:sz w:val="32"/>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b/>
      <w:color w:val="0D366B"/>
      <w:sz w:val="26"/>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Calibri" w:hAnsi="Calibri" w:eastAsia="" w:cs="" w:cstheme="majorBidi" w:eastAsiaTheme="majorEastAsia"/>
      <w:b/>
      <w:color w:val="0D366B"/>
      <w:sz w:val="23"/>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qFormat/>
    <w:pPr>
      <w:spacing w:before="180" w:after="180"/>
    </w:pPr>
    <w:rPr>
      <w:rFonts w:ascii="Calibri" w:hAnsi="Calibri"/>
      <w:sz w:val="22"/>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rFonts w:ascii="Calibri" w:hAnsi="Calibri"/>
      <w:sz w:val="22"/>
    </w:rPr>
  </w:style>
  <w:style w:type="paragraph" w:styleId="Compact" w:customStyle="1">
    <w:name w:val="Compact"/>
    <w:basedOn w:val="BodyText"/>
    <w:qFormat/>
    <w:pPr>
      <w:spacing w:before="36" w:after="36"/>
    </w:pPr>
    <w:rPr>
      <w:rFonts w:ascii="Calibri" w:hAnsi="Calibri"/>
      <w:sz w:val="22"/>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b/>
      <w:color w:val="003E7E"/>
      <w:sz w:val="48"/>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2" w:leader="dot"/>
      </w:tabs>
      <w:ind w:hanging="0" w:left="0"/>
    </w:pPr>
    <w:rPr/>
  </w:style>
  <w:style w:type="paragraph" w:styleId="TOC2">
    <w:name w:val="TOC 2"/>
    <w:basedOn w:val="Index"/>
    <w:pPr>
      <w:tabs>
        <w:tab w:val="clear" w:pos="720"/>
        <w:tab w:val="right" w:pos="9349"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2026-09-26T01:51:44Z</dcterms:created>
  <dc:creator>Francisco Javier Burgos Flórez</dc:creator>
  <dc:description/>
  <cp:keywords>multisensor fusion sensor trust innovation Kalman filter Monte Carlo reproducibility</cp:keywords>
  <dc:language>es-CO</dc:language>
  <cp:lastModifiedBy/>
  <dcterms:modified xsi:type="dcterms:W3CDTF">2026-09-26T01:51:46Z</dcterms:modified>
  <cp:revision>1</cp:revision>
  <dc:subject>A Scientific Platform for Adaptive Multisensor Fusion Under Sensor Degradation and Uncertainty</dc:subject>
  <dc:title>SensorTrust Fusion v1.0.0 – Descripción del Software</dc:title>
</cp:coreProperties>
</file>

<file path=docProps/custom.xml><?xml version="1.0" encoding="utf-8"?>
<Properties xmlns="http://schemas.openxmlformats.org/officeDocument/2006/custom-properties" xmlns:vt="http://schemas.openxmlformats.org/officeDocument/2006/docPropsVTypes"/>
</file>