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 Fusion</w:t>
      </w:r>
    </w:p>
    <w:p>
      <w:pPr>
        <w:pStyle w:val="Normal"/>
        <w:jc w:val="center"/>
        <w:rPr/>
      </w:pPr>
      <w:r>
        <w:rPr>
          <w:b/>
          <w:i w:val="false"/>
          <w:color w:val="0D366B"/>
          <w:sz w:val="36"/>
        </w:rPr>
        <w:t>Manual Técnico del Programa</w:t>
      </w:r>
    </w:p>
    <w:p>
      <w:pPr>
        <w:pStyle w:val="Normal"/>
        <w:rPr/>
      </w:pPr>
      <w:r>
        <w:rPr/>
      </w:r>
    </w:p>
    <w:p>
      <w:pPr>
        <w:pStyle w:val="Normal"/>
        <w:jc w:val="center"/>
        <w:rPr/>
      </w:pPr>
      <w:r>
        <w:rPr>
          <w:b w:val="false"/>
          <w:i/>
          <w:color w:val="52514E"/>
          <w:sz w:val="24"/>
        </w:rPr>
        <w:t>A Scientific Platform for Adaptive Multisensor Fusion Under Sensor Degradation and Uncertainty</w:t>
      </w:r>
    </w:p>
    <w:p>
      <w:pPr>
        <w:pStyle w:val="Normal"/>
        <w:jc w:val="center"/>
        <w:rPr/>
      </w:pPr>
      <w:r>
        <w:rPr>
          <w:b w:val="false"/>
          <w:i/>
          <w:color w:val="52514E"/>
          <w:sz w:val="24"/>
        </w:rPr>
        <w:t>Plataforma científica para fusión multisensor adaptativa bajo degradación e incertidumbre de sensores</w:t>
      </w:r>
    </w:p>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Autor:</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Versión:</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1.0.0</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Fecha:</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Septiembre de 2026</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Contacto: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fjburgosf@gmail.com</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Titular de los derechos:</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Repositorio: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https://github.com/fjburgosf/SensorTrustFusion</w:t>
            </w:r>
          </w:p>
        </w:tc>
      </w:tr>
    </w:tbl>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992_1564873447">
            <w:r>
              <w:rPr>
                <w:webHidden/>
                <w:rStyle w:val="IndexLink"/>
              </w:rPr>
              <w:t>1. Introducción</w:t>
              <w:tab/>
              <w:t>6</w:t>
            </w:r>
          </w:hyperlink>
        </w:p>
        <w:p>
          <w:pPr>
            <w:pStyle w:val="TOC2"/>
            <w:tabs>
              <w:tab w:val="clear" w:pos="9349"/>
              <w:tab w:val="right" w:pos="9631" w:leader="dot"/>
            </w:tabs>
            <w:rPr/>
          </w:pPr>
          <w:hyperlink w:anchor="__RefHeading___Toc10994_1564873447">
            <w:r>
              <w:rPr>
                <w:webHidden/>
                <w:rStyle w:val="IndexLink"/>
              </w:rPr>
              <w:t>1.1 Propósito del documento</w:t>
              <w:tab/>
              <w:t>6</w:t>
            </w:r>
          </w:hyperlink>
        </w:p>
        <w:p>
          <w:pPr>
            <w:pStyle w:val="TOC2"/>
            <w:tabs>
              <w:tab w:val="clear" w:pos="9349"/>
              <w:tab w:val="right" w:pos="9631" w:leader="dot"/>
            </w:tabs>
            <w:rPr/>
          </w:pPr>
          <w:hyperlink w:anchor="__RefHeading___Toc10996_1564873447">
            <w:r>
              <w:rPr>
                <w:webHidden/>
                <w:rStyle w:val="IndexLink"/>
              </w:rPr>
              <w:t>1.2 Descripción general del software</w:t>
              <w:tab/>
              <w:t>6</w:t>
            </w:r>
          </w:hyperlink>
        </w:p>
        <w:p>
          <w:pPr>
            <w:pStyle w:val="TOC2"/>
            <w:tabs>
              <w:tab w:val="clear" w:pos="9349"/>
              <w:tab w:val="right" w:pos="9631" w:leader="dot"/>
            </w:tabs>
            <w:rPr/>
          </w:pPr>
          <w:hyperlink w:anchor="__RefHeading___Toc10998_1564873447">
            <w:r>
              <w:rPr>
                <w:webHidden/>
                <w:rStyle w:val="IndexLink"/>
              </w:rPr>
              <w:t>1.3 Carácter científico</w:t>
              <w:tab/>
              <w:t>6</w:t>
            </w:r>
          </w:hyperlink>
        </w:p>
        <w:p>
          <w:pPr>
            <w:pStyle w:val="TOC1"/>
            <w:tabs>
              <w:tab w:val="clear" w:pos="9632"/>
              <w:tab w:val="right" w:pos="9631" w:leader="dot"/>
            </w:tabs>
            <w:rPr/>
          </w:pPr>
          <w:hyperlink w:anchor="__RefHeading___Toc11000_1564873447">
            <w:r>
              <w:rPr>
                <w:webHidden/>
                <w:rStyle w:val="IndexLink"/>
              </w:rPr>
              <w:t>2. Objetivo</w:t>
              <w:tab/>
              <w:t>7</w:t>
            </w:r>
          </w:hyperlink>
        </w:p>
        <w:p>
          <w:pPr>
            <w:pStyle w:val="TOC2"/>
            <w:tabs>
              <w:tab w:val="clear" w:pos="9349"/>
              <w:tab w:val="right" w:pos="9631" w:leader="dot"/>
            </w:tabs>
            <w:rPr/>
          </w:pPr>
          <w:hyperlink w:anchor="__RefHeading___Toc11002_1564873447">
            <w:r>
              <w:rPr>
                <w:webHidden/>
                <w:rStyle w:val="IndexLink"/>
              </w:rPr>
              <w:t>2.1 Objetivo general</w:t>
              <w:tab/>
              <w:t>7</w:t>
            </w:r>
          </w:hyperlink>
        </w:p>
        <w:p>
          <w:pPr>
            <w:pStyle w:val="TOC2"/>
            <w:tabs>
              <w:tab w:val="clear" w:pos="9349"/>
              <w:tab w:val="right" w:pos="9631" w:leader="dot"/>
            </w:tabs>
            <w:rPr/>
          </w:pPr>
          <w:hyperlink w:anchor="__RefHeading___Toc11004_1564873447">
            <w:r>
              <w:rPr>
                <w:webHidden/>
                <w:rStyle w:val="IndexLink"/>
              </w:rPr>
              <w:t>2.2 Objetivos específicos</w:t>
              <w:tab/>
              <w:t>7</w:t>
            </w:r>
          </w:hyperlink>
        </w:p>
        <w:p>
          <w:pPr>
            <w:pStyle w:val="TOC2"/>
            <w:tabs>
              <w:tab w:val="clear" w:pos="9349"/>
              <w:tab w:val="right" w:pos="9631" w:leader="dot"/>
            </w:tabs>
            <w:rPr/>
          </w:pPr>
          <w:hyperlink w:anchor="__RefHeading___Toc11006_1564873447">
            <w:r>
              <w:rPr>
                <w:webHidden/>
                <w:rStyle w:val="IndexLink"/>
              </w:rPr>
              <w:t>2.3 Preguntas científicas que permite estudiar</w:t>
              <w:tab/>
              <w:t>7</w:t>
            </w:r>
          </w:hyperlink>
        </w:p>
        <w:p>
          <w:pPr>
            <w:pStyle w:val="TOC1"/>
            <w:tabs>
              <w:tab w:val="clear" w:pos="9632"/>
              <w:tab w:val="right" w:pos="9631" w:leader="dot"/>
            </w:tabs>
            <w:rPr/>
          </w:pPr>
          <w:hyperlink w:anchor="__RefHeading___Toc11008_1564873447">
            <w:r>
              <w:rPr>
                <w:webHidden/>
                <w:rStyle w:val="IndexLink"/>
              </w:rPr>
              <w:t>3. Alcance</w:t>
              <w:tab/>
              <w:t>7</w:t>
            </w:r>
          </w:hyperlink>
        </w:p>
        <w:p>
          <w:pPr>
            <w:pStyle w:val="TOC1"/>
            <w:tabs>
              <w:tab w:val="clear" w:pos="9632"/>
              <w:tab w:val="right" w:pos="9631" w:leader="dot"/>
            </w:tabs>
            <w:rPr/>
          </w:pPr>
          <w:hyperlink w:anchor="__RefHeading___Toc11010_1564873447">
            <w:r>
              <w:rPr>
                <w:webHidden/>
                <w:rStyle w:val="IndexLink"/>
              </w:rPr>
              <w:t>4. Fundamentos científicos</w:t>
              <w:tab/>
              <w:t>8</w:t>
            </w:r>
          </w:hyperlink>
        </w:p>
        <w:p>
          <w:pPr>
            <w:pStyle w:val="TOC2"/>
            <w:tabs>
              <w:tab w:val="clear" w:pos="9349"/>
              <w:tab w:val="right" w:pos="9631" w:leader="dot"/>
            </w:tabs>
            <w:rPr/>
          </w:pPr>
          <w:hyperlink w:anchor="__RefHeading___Toc11012_1564873447">
            <w:r>
              <w:rPr>
                <w:webHidden/>
                <w:rStyle w:val="IndexLink"/>
              </w:rPr>
              <w:t>4.1 Problema de fusión bajo degradación</w:t>
              <w:tab/>
              <w:t>8</w:t>
            </w:r>
          </w:hyperlink>
        </w:p>
        <w:p>
          <w:pPr>
            <w:pStyle w:val="TOC2"/>
            <w:tabs>
              <w:tab w:val="clear" w:pos="9349"/>
              <w:tab w:val="right" w:pos="9631" w:leader="dot"/>
            </w:tabs>
            <w:rPr/>
          </w:pPr>
          <w:hyperlink w:anchor="__RefHeading___Toc11014_1564873447">
            <w:r>
              <w:rPr>
                <w:webHidden/>
                <w:rStyle w:val="IndexLink"/>
              </w:rPr>
              <w:t>4.2 La innovación como evidencia</w:t>
              <w:tab/>
              <w:t>8</w:t>
            </w:r>
          </w:hyperlink>
        </w:p>
        <w:p>
          <w:pPr>
            <w:pStyle w:val="TOC2"/>
            <w:tabs>
              <w:tab w:val="clear" w:pos="9349"/>
              <w:tab w:val="right" w:pos="9631" w:leader="dot"/>
            </w:tabs>
            <w:rPr/>
          </w:pPr>
          <w:hyperlink w:anchor="__RefHeading___Toc11016_1564873447">
            <w:r>
              <w:rPr>
                <w:webHidden/>
                <w:rStyle w:val="IndexLink"/>
              </w:rPr>
              <w:t>4.3 Modularidad de la formulación de confianza</w:t>
              <w:tab/>
              <w:t>8</w:t>
            </w:r>
          </w:hyperlink>
        </w:p>
        <w:p>
          <w:pPr>
            <w:pStyle w:val="TOC1"/>
            <w:tabs>
              <w:tab w:val="clear" w:pos="9632"/>
              <w:tab w:val="right" w:pos="9631" w:leader="dot"/>
            </w:tabs>
            <w:rPr/>
          </w:pPr>
          <w:hyperlink w:anchor="__RefHeading___Toc11018_1564873447">
            <w:r>
              <w:rPr>
                <w:webHidden/>
                <w:rStyle w:val="IndexLink"/>
              </w:rPr>
              <w:t>5. Modelos dinámicos</w:t>
              <w:tab/>
              <w:t>8</w:t>
            </w:r>
          </w:hyperlink>
        </w:p>
        <w:p>
          <w:pPr>
            <w:pStyle w:val="TOC2"/>
            <w:tabs>
              <w:tab w:val="clear" w:pos="9349"/>
              <w:tab w:val="right" w:pos="9631" w:leader="dot"/>
            </w:tabs>
            <w:rPr/>
          </w:pPr>
          <w:hyperlink w:anchor="__RefHeading___Toc11020_1564873447">
            <w:r>
              <w:rPr>
                <w:webHidden/>
                <w:rStyle w:val="IndexLink"/>
              </w:rPr>
              <w:t>5.1 Modelo general</w:t>
              <w:tab/>
              <w:t>8</w:t>
            </w:r>
          </w:hyperlink>
        </w:p>
        <w:p>
          <w:pPr>
            <w:pStyle w:val="TOC2"/>
            <w:tabs>
              <w:tab w:val="clear" w:pos="9349"/>
              <w:tab w:val="right" w:pos="9631" w:leader="dot"/>
            </w:tabs>
            <w:rPr/>
          </w:pPr>
          <w:hyperlink w:anchor="__RefHeading___Toc11022_1564873447">
            <w:r>
              <w:rPr>
                <w:webHidden/>
                <w:rStyle w:val="IndexLink"/>
              </w:rPr>
              <w:t>5.2 Modelos predefinidos</w:t>
              <w:tab/>
              <w:t>9</w:t>
            </w:r>
          </w:hyperlink>
        </w:p>
        <w:p>
          <w:pPr>
            <w:pStyle w:val="TOC2"/>
            <w:tabs>
              <w:tab w:val="clear" w:pos="9349"/>
              <w:tab w:val="right" w:pos="9631" w:leader="dot"/>
            </w:tabs>
            <w:rPr/>
          </w:pPr>
          <w:hyperlink w:anchor="__RefHeading___Toc11024_1564873447">
            <w:r>
              <w:rPr>
                <w:webHidden/>
                <w:rStyle w:val="IndexLink"/>
              </w:rPr>
              <w:t>5.3 Generador del valor verdadero</w:t>
              <w:tab/>
              <w:t>10</w:t>
            </w:r>
          </w:hyperlink>
        </w:p>
        <w:p>
          <w:pPr>
            <w:pStyle w:val="TOC1"/>
            <w:tabs>
              <w:tab w:val="clear" w:pos="9632"/>
              <w:tab w:val="right" w:pos="9631" w:leader="dot"/>
            </w:tabs>
            <w:rPr/>
          </w:pPr>
          <w:hyperlink w:anchor="__RefHeading___Toc11026_1564873447">
            <w:r>
              <w:rPr>
                <w:webHidden/>
                <w:rStyle w:val="IndexLink"/>
              </w:rPr>
              <w:t>6. Modelo de sensores</w:t>
              <w:tab/>
              <w:t>10</w:t>
            </w:r>
          </w:hyperlink>
        </w:p>
        <w:p>
          <w:pPr>
            <w:pStyle w:val="TOC2"/>
            <w:tabs>
              <w:tab w:val="clear" w:pos="9349"/>
              <w:tab w:val="right" w:pos="9631" w:leader="dot"/>
            </w:tabs>
            <w:rPr/>
          </w:pPr>
          <w:hyperlink w:anchor="__RefHeading___Toc11028_1564873447">
            <w:r>
              <w:rPr>
                <w:webHidden/>
                <w:rStyle w:val="IndexLink"/>
              </w:rPr>
              <w:t>6.1 Especificación</w:t>
              <w:tab/>
              <w:t>10</w:t>
            </w:r>
          </w:hyperlink>
        </w:p>
        <w:p>
          <w:pPr>
            <w:pStyle w:val="TOC2"/>
            <w:tabs>
              <w:tab w:val="clear" w:pos="9349"/>
              <w:tab w:val="right" w:pos="9631" w:leader="dot"/>
            </w:tabs>
            <w:rPr/>
          </w:pPr>
          <w:hyperlink w:anchor="__RefHeading___Toc11030_1564873447">
            <w:r>
              <w:rPr>
                <w:webHidden/>
                <w:rStyle w:val="IndexLink"/>
              </w:rPr>
              <w:t>6.2 Cadena de medición</w:t>
              <w:tab/>
              <w:t>10</w:t>
            </w:r>
          </w:hyperlink>
        </w:p>
        <w:p>
          <w:pPr>
            <w:pStyle w:val="TOC2"/>
            <w:tabs>
              <w:tab w:val="clear" w:pos="9349"/>
              <w:tab w:val="right" w:pos="9631" w:leader="dot"/>
            </w:tabs>
            <w:rPr/>
          </w:pPr>
          <w:hyperlink w:anchor="__RefHeading___Toc11032_1564873447">
            <w:r>
              <w:rPr>
                <w:webHidden/>
                <w:rStyle w:val="IndexLink"/>
              </w:rPr>
              <w:t>6.3 Covarianza nominal</w:t>
              <w:tab/>
              <w:t>11</w:t>
            </w:r>
          </w:hyperlink>
        </w:p>
        <w:p>
          <w:pPr>
            <w:pStyle w:val="TOC1"/>
            <w:tabs>
              <w:tab w:val="clear" w:pos="9632"/>
              <w:tab w:val="right" w:pos="9631" w:leader="dot"/>
            </w:tabs>
            <w:rPr/>
          </w:pPr>
          <w:hyperlink w:anchor="__RefHeading___Toc11034_1564873447">
            <w:r>
              <w:rPr>
                <w:webHidden/>
                <w:rStyle w:val="IndexLink"/>
              </w:rPr>
              <w:t>7. Modelos de ruido</w:t>
              <w:tab/>
              <w:t>11</w:t>
            </w:r>
          </w:hyperlink>
        </w:p>
        <w:p>
          <w:pPr>
            <w:pStyle w:val="TOC1"/>
            <w:tabs>
              <w:tab w:val="clear" w:pos="9632"/>
              <w:tab w:val="right" w:pos="9631" w:leader="dot"/>
            </w:tabs>
            <w:rPr/>
          </w:pPr>
          <w:hyperlink w:anchor="__RefHeading___Toc11036_1564873447">
            <w:r>
              <w:rPr>
                <w:webHidden/>
                <w:rStyle w:val="IndexLink"/>
              </w:rPr>
              <w:t>8. Motor de degradación</w:t>
              <w:tab/>
              <w:t>11</w:t>
            </w:r>
          </w:hyperlink>
        </w:p>
        <w:p>
          <w:pPr>
            <w:pStyle w:val="TOC2"/>
            <w:tabs>
              <w:tab w:val="clear" w:pos="9349"/>
              <w:tab w:val="right" w:pos="9631" w:leader="dot"/>
            </w:tabs>
            <w:rPr/>
          </w:pPr>
          <w:hyperlink w:anchor="__RefHeading___Toc11038_1564873447">
            <w:r>
              <w:rPr>
                <w:webHidden/>
                <w:rStyle w:val="IndexLink"/>
              </w:rPr>
              <w:t>8.1 Perfiles temporales</w:t>
              <w:tab/>
              <w:t>11</w:t>
            </w:r>
          </w:hyperlink>
        </w:p>
        <w:p>
          <w:pPr>
            <w:pStyle w:val="TOC2"/>
            <w:tabs>
              <w:tab w:val="clear" w:pos="9349"/>
              <w:tab w:val="right" w:pos="9631" w:leader="dot"/>
            </w:tabs>
            <w:rPr/>
          </w:pPr>
          <w:hyperlink w:anchor="__RefHeading___Toc11040_1564873447">
            <w:r>
              <w:rPr>
                <w:webHidden/>
                <w:rStyle w:val="IndexLink"/>
              </w:rPr>
              <w:t>8.2 Tipos de degradación</w:t>
              <w:tab/>
              <w:t>12</w:t>
            </w:r>
          </w:hyperlink>
        </w:p>
        <w:p>
          <w:pPr>
            <w:pStyle w:val="TOC2"/>
            <w:tabs>
              <w:tab w:val="clear" w:pos="9349"/>
              <w:tab w:val="right" w:pos="9631" w:leader="dot"/>
            </w:tabs>
            <w:rPr/>
          </w:pPr>
          <w:hyperlink w:anchor="__RefHeading___Toc11042_1564873447">
            <w:r>
              <w:rPr>
                <w:webHidden/>
                <w:rStyle w:val="IndexLink"/>
              </w:rPr>
              <w:t>8.3 Valor verdadero de los fallos</w:t>
              <w:tab/>
              <w:t>13</w:t>
            </w:r>
          </w:hyperlink>
        </w:p>
        <w:p>
          <w:pPr>
            <w:pStyle w:val="TOC2"/>
            <w:tabs>
              <w:tab w:val="clear" w:pos="9349"/>
              <w:tab w:val="right" w:pos="9631" w:leader="dot"/>
            </w:tabs>
            <w:rPr/>
          </w:pPr>
          <w:hyperlink w:anchor="__RefHeading___Toc11044_1564873447">
            <w:r>
              <w:rPr>
                <w:webHidden/>
                <w:rStyle w:val="IndexLink"/>
              </w:rPr>
              <w:t>8.4 Flujos aleatorios independientes</w:t>
              <w:tab/>
              <w:t>13</w:t>
            </w:r>
          </w:hyperlink>
        </w:p>
        <w:p>
          <w:pPr>
            <w:pStyle w:val="TOC1"/>
            <w:tabs>
              <w:tab w:val="clear" w:pos="9632"/>
              <w:tab w:val="right" w:pos="9631" w:leader="dot"/>
            </w:tabs>
            <w:rPr/>
          </w:pPr>
          <w:hyperlink w:anchor="__RefHeading___Toc11046_1564873447">
            <w:r>
              <w:rPr>
                <w:webHidden/>
                <w:rStyle w:val="IndexLink"/>
              </w:rPr>
              <w:t>9. Innovación</w:t>
              <w:tab/>
              <w:t>13</w:t>
            </w:r>
          </w:hyperlink>
        </w:p>
        <w:p>
          <w:pPr>
            <w:pStyle w:val="TOC1"/>
            <w:tabs>
              <w:tab w:val="clear" w:pos="9632"/>
              <w:tab w:val="right" w:pos="9631" w:leader="dot"/>
            </w:tabs>
            <w:rPr/>
          </w:pPr>
          <w:hyperlink w:anchor="__RefHeading___Toc11048_1564873447">
            <w:r>
              <w:rPr>
                <w:webHidden/>
                <w:rStyle w:val="IndexLink"/>
              </w:rPr>
              <w:t>10. Primer momento de la innovación</w:t>
              <w:tab/>
              <w:t>14</w:t>
            </w:r>
          </w:hyperlink>
        </w:p>
        <w:p>
          <w:pPr>
            <w:pStyle w:val="TOC2"/>
            <w:tabs>
              <w:tab w:val="clear" w:pos="9349"/>
              <w:tab w:val="right" w:pos="9631" w:leader="dot"/>
            </w:tabs>
            <w:rPr/>
          </w:pPr>
          <w:hyperlink w:anchor="__RefHeading___Toc11050_1564873447">
            <w:r>
              <w:rPr>
                <w:webHidden/>
                <w:rStyle w:val="IndexLink"/>
              </w:rPr>
              <w:t>10.1 Referencia de consenso</w:t>
              <w:tab/>
              <w:t>14</w:t>
            </w:r>
          </w:hyperlink>
        </w:p>
        <w:p>
          <w:pPr>
            <w:pStyle w:val="TOC1"/>
            <w:tabs>
              <w:tab w:val="clear" w:pos="9632"/>
              <w:tab w:val="right" w:pos="9631" w:leader="dot"/>
            </w:tabs>
            <w:rPr/>
          </w:pPr>
          <w:hyperlink w:anchor="__RefHeading___Toc11052_1564873447">
            <w:r>
              <w:rPr>
                <w:webHidden/>
                <w:rStyle w:val="IndexLink"/>
              </w:rPr>
              <w:t>11. Segundo momento de la innovación</w:t>
              <w:tab/>
              <w:t>15</w:t>
            </w:r>
          </w:hyperlink>
        </w:p>
        <w:p>
          <w:pPr>
            <w:pStyle w:val="TOC1"/>
            <w:tabs>
              <w:tab w:val="clear" w:pos="9632"/>
              <w:tab w:val="right" w:pos="9631" w:leader="dot"/>
            </w:tabs>
            <w:rPr/>
          </w:pPr>
          <w:hyperlink w:anchor="__RefHeading___Toc11054_1564873447">
            <w:r>
              <w:rPr>
                <w:webHidden/>
                <w:rStyle w:val="IndexLink"/>
              </w:rPr>
              <w:t>12. Confiabilidad (SensorTrust)</w:t>
              <w:tab/>
              <w:t>15</w:t>
            </w:r>
          </w:hyperlink>
        </w:p>
        <w:p>
          <w:pPr>
            <w:pStyle w:val="TOC2"/>
            <w:tabs>
              <w:tab w:val="clear" w:pos="9349"/>
              <w:tab w:val="right" w:pos="9631" w:leader="dot"/>
            </w:tabs>
            <w:rPr/>
          </w:pPr>
          <w:hyperlink w:anchor="__RefHeading___Toc11056_1564873447">
            <w:r>
              <w:rPr>
                <w:webHidden/>
                <w:rStyle w:val="IndexLink"/>
              </w:rPr>
              <w:t>12.1 Interfaz común</w:t>
              <w:tab/>
              <w:t>15</w:t>
            </w:r>
          </w:hyperlink>
        </w:p>
        <w:p>
          <w:pPr>
            <w:pStyle w:val="TOC2"/>
            <w:tabs>
              <w:tab w:val="clear" w:pos="9349"/>
              <w:tab w:val="right" w:pos="9631" w:leader="dot"/>
            </w:tabs>
            <w:rPr/>
          </w:pPr>
          <w:hyperlink w:anchor="__RefHeading___Toc11058_1564873447">
            <w:r>
              <w:rPr>
                <w:webHidden/>
                <w:rStyle w:val="IndexLink"/>
              </w:rPr>
              <w:t>12.2 Estimador de los dos primeros momentos</w:t>
              <w:tab/>
              <w:t>15</w:t>
            </w:r>
          </w:hyperlink>
        </w:p>
        <w:p>
          <w:pPr>
            <w:pStyle w:val="TOC2"/>
            <w:tabs>
              <w:tab w:val="clear" w:pos="9349"/>
              <w:tab w:val="right" w:pos="9631" w:leader="dot"/>
            </w:tabs>
            <w:rPr/>
          </w:pPr>
          <w:hyperlink w:anchor="__RefHeading___Toc11060_1564873447">
            <w:r>
              <w:rPr>
                <w:webHidden/>
                <w:rStyle w:val="IndexLink"/>
              </w:rPr>
              <w:t>12.3 Compuerta NIS (referencia clásica)</w:t>
              <w:tab/>
              <w:t>16</w:t>
            </w:r>
          </w:hyperlink>
        </w:p>
        <w:p>
          <w:pPr>
            <w:pStyle w:val="TOC2"/>
            <w:tabs>
              <w:tab w:val="clear" w:pos="9349"/>
              <w:tab w:val="right" w:pos="9631" w:leader="dot"/>
            </w:tabs>
            <w:rPr/>
          </w:pPr>
          <w:hyperlink w:anchor="__RefHeading___Toc11062_1564873447">
            <w:r>
              <w:rPr>
                <w:webHidden/>
                <w:rStyle w:val="IndexLink"/>
              </w:rPr>
              <w:t>12.4 Detección de degradación</w:t>
              <w:tab/>
              <w:t>16</w:t>
            </w:r>
          </w:hyperlink>
        </w:p>
        <w:p>
          <w:pPr>
            <w:pStyle w:val="TOC1"/>
            <w:tabs>
              <w:tab w:val="clear" w:pos="9632"/>
              <w:tab w:val="right" w:pos="9631" w:leader="dot"/>
            </w:tabs>
            <w:rPr/>
          </w:pPr>
          <w:hyperlink w:anchor="__RefHeading___Toc11064_1564873447">
            <w:r>
              <w:rPr>
                <w:webHidden/>
                <w:rStyle w:val="IndexLink"/>
              </w:rPr>
              <w:t>13. Algoritmos de fusión</w:t>
              <w:tab/>
              <w:t>17</w:t>
            </w:r>
          </w:hyperlink>
        </w:p>
        <w:p>
          <w:pPr>
            <w:pStyle w:val="TOC2"/>
            <w:tabs>
              <w:tab w:val="clear" w:pos="9349"/>
              <w:tab w:val="right" w:pos="9631" w:leader="dot"/>
            </w:tabs>
            <w:rPr/>
          </w:pPr>
          <w:hyperlink w:anchor="__RefHeading___Toc11066_1564873447">
            <w:r>
              <w:rPr>
                <w:webHidden/>
                <w:rStyle w:val="IndexLink"/>
              </w:rPr>
              <w:t>13.1 Métodos de referencia estáticos</w:t>
              <w:tab/>
              <w:t>17</w:t>
            </w:r>
          </w:hyperlink>
        </w:p>
        <w:p>
          <w:pPr>
            <w:pStyle w:val="TOC2"/>
            <w:tabs>
              <w:tab w:val="clear" w:pos="9349"/>
              <w:tab w:val="right" w:pos="9631" w:leader="dot"/>
            </w:tabs>
            <w:rPr/>
          </w:pPr>
          <w:hyperlink w:anchor="__RefHeading___Toc11068_1564873447">
            <w:r>
              <w:rPr>
                <w:webHidden/>
                <w:rStyle w:val="IndexLink"/>
              </w:rPr>
              <w:t>13.2 Fusión centralizada</w:t>
              <w:tab/>
              <w:t>17</w:t>
            </w:r>
          </w:hyperlink>
        </w:p>
        <w:p>
          <w:pPr>
            <w:pStyle w:val="TOC2"/>
            <w:tabs>
              <w:tab w:val="clear" w:pos="9349"/>
              <w:tab w:val="right" w:pos="9631" w:leader="dot"/>
            </w:tabs>
            <w:rPr/>
          </w:pPr>
          <w:hyperlink w:anchor="__RefHeading___Toc11070_1564873447">
            <w:r>
              <w:rPr>
                <w:webHidden/>
                <w:rStyle w:val="IndexLink"/>
              </w:rPr>
              <w:t>13.3 Pesos</w:t>
              <w:tab/>
              <w:t>17</w:t>
            </w:r>
          </w:hyperlink>
        </w:p>
        <w:p>
          <w:pPr>
            <w:pStyle w:val="TOC2"/>
            <w:tabs>
              <w:tab w:val="clear" w:pos="9349"/>
              <w:tab w:val="right" w:pos="9631" w:leader="dot"/>
            </w:tabs>
            <w:rPr/>
          </w:pPr>
          <w:hyperlink w:anchor="__RefHeading___Toc11072_1564873447">
            <w:r>
              <w:rPr>
                <w:webHidden/>
                <w:rStyle w:val="IndexLink"/>
              </w:rPr>
              <w:t>13.4 Fusión a nivel de estimaciones</w:t>
              <w:tab/>
              <w:t>18</w:t>
            </w:r>
          </w:hyperlink>
        </w:p>
        <w:p>
          <w:pPr>
            <w:pStyle w:val="TOC2"/>
            <w:tabs>
              <w:tab w:val="clear" w:pos="9349"/>
              <w:tab w:val="right" w:pos="9631" w:leader="dot"/>
            </w:tabs>
            <w:rPr/>
          </w:pPr>
          <w:hyperlink w:anchor="__RefHeading___Toc11074_1564873447">
            <w:r>
              <w:rPr>
                <w:webHidden/>
                <w:rStyle w:val="IndexLink"/>
              </w:rPr>
              <w:t>13.5 Catálogo de métodos</w:t>
              <w:tab/>
              <w:t>18</w:t>
            </w:r>
          </w:hyperlink>
        </w:p>
        <w:p>
          <w:pPr>
            <w:pStyle w:val="TOC1"/>
            <w:tabs>
              <w:tab w:val="clear" w:pos="9632"/>
              <w:tab w:val="right" w:pos="9631" w:leader="dot"/>
            </w:tabs>
            <w:rPr/>
          </w:pPr>
          <w:hyperlink w:anchor="__RefHeading___Toc11076_1564873447">
            <w:r>
              <w:rPr>
                <w:webHidden/>
                <w:rStyle w:val="IndexLink"/>
              </w:rPr>
              <w:t>14. Filtro de Kalman, EKF y UKF</w:t>
              <w:tab/>
              <w:t>18</w:t>
            </w:r>
          </w:hyperlink>
        </w:p>
        <w:p>
          <w:pPr>
            <w:pStyle w:val="TOC2"/>
            <w:tabs>
              <w:tab w:val="clear" w:pos="9349"/>
              <w:tab w:val="right" w:pos="9631" w:leader="dot"/>
            </w:tabs>
            <w:rPr/>
          </w:pPr>
          <w:hyperlink w:anchor="__RefHeading___Toc11078_1564873447">
            <w:r>
              <w:rPr>
                <w:webHidden/>
                <w:rStyle w:val="IndexLink"/>
              </w:rPr>
              <w:t>14.1 Filtro de Kalman</w:t>
              <w:tab/>
              <w:t>18</w:t>
            </w:r>
          </w:hyperlink>
        </w:p>
        <w:p>
          <w:pPr>
            <w:pStyle w:val="TOC2"/>
            <w:tabs>
              <w:tab w:val="clear" w:pos="9349"/>
              <w:tab w:val="right" w:pos="9631" w:leader="dot"/>
            </w:tabs>
            <w:rPr/>
          </w:pPr>
          <w:hyperlink w:anchor="__RefHeading___Toc11080_1564873447">
            <w:r>
              <w:rPr>
                <w:webHidden/>
                <w:rStyle w:val="IndexLink"/>
              </w:rPr>
              <w:t>14.2 Filtro de Kalman extendido</w:t>
              <w:tab/>
              <w:t>19</w:t>
            </w:r>
          </w:hyperlink>
        </w:p>
        <w:p>
          <w:pPr>
            <w:pStyle w:val="TOC2"/>
            <w:tabs>
              <w:tab w:val="clear" w:pos="9349"/>
              <w:tab w:val="right" w:pos="9631" w:leader="dot"/>
            </w:tabs>
            <w:rPr/>
          </w:pPr>
          <w:hyperlink w:anchor="__RefHeading___Toc11082_1564873447">
            <w:r>
              <w:rPr>
                <w:webHidden/>
                <w:rStyle w:val="IndexLink"/>
              </w:rPr>
              <w:t>14.3 Filtro de Kalman unscented</w:t>
              <w:tab/>
              <w:t>19</w:t>
            </w:r>
          </w:hyperlink>
        </w:p>
        <w:p>
          <w:pPr>
            <w:pStyle w:val="TOC2"/>
            <w:tabs>
              <w:tab w:val="clear" w:pos="9349"/>
              <w:tab w:val="right" w:pos="9631" w:leader="dot"/>
            </w:tabs>
            <w:rPr/>
          </w:pPr>
          <w:hyperlink w:anchor="__RefHeading___Toc11084_1564873447">
            <w:r>
              <w:rPr>
                <w:webHidden/>
                <w:rStyle w:val="IndexLink"/>
              </w:rPr>
              <w:t>14.4 Validación</w:t>
              <w:tab/>
              <w:t>19</w:t>
            </w:r>
          </w:hyperlink>
        </w:p>
        <w:p>
          <w:pPr>
            <w:pStyle w:val="TOC1"/>
            <w:tabs>
              <w:tab w:val="clear" w:pos="9632"/>
              <w:tab w:val="right" w:pos="9631" w:leader="dot"/>
            </w:tabs>
            <w:rPr/>
          </w:pPr>
          <w:hyperlink w:anchor="__RefHeading___Toc11086_1564873447">
            <w:r>
              <w:rPr>
                <w:webHidden/>
                <w:rStyle w:val="IndexLink"/>
              </w:rPr>
              <w:t>15. Adaptación de covarianza</w:t>
              <w:tab/>
              <w:t>19</w:t>
            </w:r>
          </w:hyperlink>
        </w:p>
        <w:p>
          <w:pPr>
            <w:pStyle w:val="TOC1"/>
            <w:tabs>
              <w:tab w:val="clear" w:pos="9632"/>
              <w:tab w:val="right" w:pos="9631" w:leader="dot"/>
            </w:tabs>
            <w:rPr/>
          </w:pPr>
          <w:hyperlink w:anchor="__RefHeading___Toc11088_1564873447">
            <w:r>
              <w:rPr>
                <w:webHidden/>
                <w:rStyle w:val="IndexLink"/>
              </w:rPr>
              <w:t>16. Monte Carlo y diseño de experimentos</w:t>
              <w:tab/>
              <w:t>20</w:t>
            </w:r>
          </w:hyperlink>
        </w:p>
        <w:p>
          <w:pPr>
            <w:pStyle w:val="TOC2"/>
            <w:tabs>
              <w:tab w:val="clear" w:pos="9349"/>
              <w:tab w:val="right" w:pos="9631" w:leader="dot"/>
            </w:tabs>
            <w:rPr/>
          </w:pPr>
          <w:hyperlink w:anchor="__RefHeading___Toc11090_1564873447">
            <w:r>
              <w:rPr>
                <w:webHidden/>
                <w:rStyle w:val="IndexLink"/>
              </w:rPr>
              <w:t>16.1 Motor Monte Carlo</w:t>
              <w:tab/>
              <w:t>20</w:t>
            </w:r>
          </w:hyperlink>
        </w:p>
        <w:p>
          <w:pPr>
            <w:pStyle w:val="TOC2"/>
            <w:tabs>
              <w:tab w:val="clear" w:pos="9349"/>
              <w:tab w:val="right" w:pos="9631" w:leader="dot"/>
            </w:tabs>
            <w:rPr/>
          </w:pPr>
          <w:hyperlink w:anchor="__RefHeading___Toc11092_1564873447">
            <w:r>
              <w:rPr>
                <w:webHidden/>
                <w:rStyle w:val="IndexLink"/>
              </w:rPr>
              <w:t>16.2 Diseños y distribuciones</w:t>
              <w:tab/>
              <w:t>20</w:t>
            </w:r>
          </w:hyperlink>
        </w:p>
        <w:p>
          <w:pPr>
            <w:pStyle w:val="TOC2"/>
            <w:tabs>
              <w:tab w:val="clear" w:pos="9349"/>
              <w:tab w:val="right" w:pos="9631" w:leader="dot"/>
            </w:tabs>
            <w:rPr/>
          </w:pPr>
          <w:hyperlink w:anchor="__RefHeading___Toc11094_1564873447">
            <w:r>
              <w:rPr>
                <w:webHidden/>
                <w:rStyle w:val="IndexLink"/>
              </w:rPr>
              <w:t>16.3 Barridos paramétricos</w:t>
              <w:tab/>
              <w:t>20</w:t>
            </w:r>
          </w:hyperlink>
        </w:p>
        <w:p>
          <w:pPr>
            <w:pStyle w:val="TOC2"/>
            <w:tabs>
              <w:tab w:val="clear" w:pos="9349"/>
              <w:tab w:val="right" w:pos="9631" w:leader="dot"/>
            </w:tabs>
            <w:rPr/>
          </w:pPr>
          <w:hyperlink w:anchor="__RefHeading___Toc11096_1564873447">
            <w:r>
              <w:rPr>
                <w:webHidden/>
                <w:rStyle w:val="IndexLink"/>
              </w:rPr>
              <w:t>16.4 Envolvente de robustez</w:t>
              <w:tab/>
              <w:t>20</w:t>
            </w:r>
          </w:hyperlink>
        </w:p>
        <w:p>
          <w:pPr>
            <w:pStyle w:val="TOC1"/>
            <w:tabs>
              <w:tab w:val="clear" w:pos="9632"/>
              <w:tab w:val="right" w:pos="9631" w:leader="dot"/>
            </w:tabs>
            <w:rPr/>
          </w:pPr>
          <w:hyperlink w:anchor="__RefHeading___Toc11098_1564873447">
            <w:r>
              <w:rPr>
                <w:webHidden/>
                <w:rStyle w:val="IndexLink"/>
              </w:rPr>
              <w:t>17. Análisis de sensibilidad</w:t>
              <w:tab/>
              <w:t>21</w:t>
            </w:r>
          </w:hyperlink>
        </w:p>
        <w:p>
          <w:pPr>
            <w:pStyle w:val="TOC1"/>
            <w:tabs>
              <w:tab w:val="clear" w:pos="9632"/>
              <w:tab w:val="right" w:pos="9631" w:leader="dot"/>
            </w:tabs>
            <w:rPr/>
          </w:pPr>
          <w:hyperlink w:anchor="__RefHeading___Toc11100_1564873447">
            <w:r>
              <w:rPr>
                <w:webHidden/>
                <w:rStyle w:val="IndexLink"/>
              </w:rPr>
              <w:t>18. Métricas</w:t>
              <w:tab/>
              <w:t>21</w:t>
            </w:r>
          </w:hyperlink>
        </w:p>
        <w:p>
          <w:pPr>
            <w:pStyle w:val="TOC2"/>
            <w:tabs>
              <w:tab w:val="clear" w:pos="9349"/>
              <w:tab w:val="right" w:pos="9631" w:leader="dot"/>
            </w:tabs>
            <w:rPr/>
          </w:pPr>
          <w:hyperlink w:anchor="__RefHeading___Toc11102_1564873447">
            <w:r>
              <w:rPr>
                <w:webHidden/>
                <w:rStyle w:val="IndexLink"/>
              </w:rPr>
              <w:t>18.1 Estimación</w:t>
              <w:tab/>
              <w:t>21</w:t>
            </w:r>
          </w:hyperlink>
        </w:p>
        <w:p>
          <w:pPr>
            <w:pStyle w:val="TOC2"/>
            <w:tabs>
              <w:tab w:val="clear" w:pos="9349"/>
              <w:tab w:val="right" w:pos="9631" w:leader="dot"/>
            </w:tabs>
            <w:rPr/>
          </w:pPr>
          <w:hyperlink w:anchor="__RefHeading___Toc11104_1564873447">
            <w:r>
              <w:rPr>
                <w:webHidden/>
                <w:rStyle w:val="IndexLink"/>
              </w:rPr>
              <w:t>18.2 Consistencia</w:t>
              <w:tab/>
              <w:t>21</w:t>
            </w:r>
          </w:hyperlink>
        </w:p>
        <w:p>
          <w:pPr>
            <w:pStyle w:val="TOC2"/>
            <w:tabs>
              <w:tab w:val="clear" w:pos="9349"/>
              <w:tab w:val="right" w:pos="9631" w:leader="dot"/>
            </w:tabs>
            <w:rPr/>
          </w:pPr>
          <w:hyperlink w:anchor="__RefHeading___Toc11106_1564873447">
            <w:r>
              <w:rPr>
                <w:webHidden/>
                <w:rStyle w:val="IndexLink"/>
              </w:rPr>
              <w:t>18.3 Detección</w:t>
              <w:tab/>
              <w:t>21</w:t>
            </w:r>
          </w:hyperlink>
        </w:p>
        <w:p>
          <w:pPr>
            <w:pStyle w:val="TOC2"/>
            <w:tabs>
              <w:tab w:val="clear" w:pos="9349"/>
              <w:tab w:val="right" w:pos="9631" w:leader="dot"/>
            </w:tabs>
            <w:rPr/>
          </w:pPr>
          <w:hyperlink w:anchor="__RefHeading___Toc11108_1564873447">
            <w:r>
              <w:rPr>
                <w:webHidden/>
                <w:rStyle w:val="IndexLink"/>
              </w:rPr>
              <w:t>18.4 Confianza y pesos</w:t>
              <w:tab/>
              <w:t>22</w:t>
            </w:r>
          </w:hyperlink>
        </w:p>
        <w:p>
          <w:pPr>
            <w:pStyle w:val="TOC2"/>
            <w:tabs>
              <w:tab w:val="clear" w:pos="9349"/>
              <w:tab w:val="right" w:pos="9631" w:leader="dot"/>
            </w:tabs>
            <w:rPr/>
          </w:pPr>
          <w:hyperlink w:anchor="__RefHeading___Toc11110_1564873447">
            <w:r>
              <w:rPr>
                <w:webHidden/>
                <w:rStyle w:val="IndexLink"/>
              </w:rPr>
              <w:t>18.5 Robustez</w:t>
              <w:tab/>
              <w:t>22</w:t>
            </w:r>
          </w:hyperlink>
        </w:p>
        <w:p>
          <w:pPr>
            <w:pStyle w:val="TOC2"/>
            <w:tabs>
              <w:tab w:val="clear" w:pos="9349"/>
              <w:tab w:val="right" w:pos="9631" w:leader="dot"/>
            </w:tabs>
            <w:rPr/>
          </w:pPr>
          <w:hyperlink w:anchor="__RefHeading___Toc11112_1564873447">
            <w:r>
              <w:rPr>
                <w:webHidden/>
                <w:rStyle w:val="IndexLink"/>
              </w:rPr>
              <w:t>18.6 Estadística</w:t>
              <w:tab/>
              <w:t>22</w:t>
            </w:r>
          </w:hyperlink>
        </w:p>
        <w:p>
          <w:pPr>
            <w:pStyle w:val="TOC1"/>
            <w:tabs>
              <w:tab w:val="clear" w:pos="9632"/>
              <w:tab w:val="right" w:pos="9631" w:leader="dot"/>
            </w:tabs>
            <w:rPr/>
          </w:pPr>
          <w:hyperlink w:anchor="__RefHeading___Toc11114_1564873447">
            <w:r>
              <w:rPr>
                <w:webHidden/>
                <w:rStyle w:val="IndexLink"/>
              </w:rPr>
              <w:t>19. Arquitectura</w:t>
              <w:tab/>
              <w:t>22</w:t>
            </w:r>
          </w:hyperlink>
        </w:p>
        <w:p>
          <w:pPr>
            <w:pStyle w:val="TOC2"/>
            <w:tabs>
              <w:tab w:val="clear" w:pos="9349"/>
              <w:tab w:val="right" w:pos="9631" w:leader="dot"/>
            </w:tabs>
            <w:rPr/>
          </w:pPr>
          <w:hyperlink w:anchor="__RefHeading___Toc11116_1564873447">
            <w:r>
              <w:rPr>
                <w:webHidden/>
                <w:rStyle w:val="IndexLink"/>
              </w:rPr>
              <w:t>19.1 Arquitectura científica</w:t>
              <w:tab/>
              <w:t>22</w:t>
            </w:r>
          </w:hyperlink>
        </w:p>
        <w:p>
          <w:pPr>
            <w:pStyle w:val="TOC2"/>
            <w:tabs>
              <w:tab w:val="clear" w:pos="9349"/>
              <w:tab w:val="right" w:pos="9631" w:leader="dot"/>
            </w:tabs>
            <w:rPr/>
          </w:pPr>
          <w:hyperlink w:anchor="__RefHeading___Toc11118_1564873447">
            <w:r>
              <w:rPr>
                <w:webHidden/>
                <w:rStyle w:val="IndexLink"/>
              </w:rPr>
              <w:t>19.2 Capas</w:t>
              <w:tab/>
              <w:t>22</w:t>
            </w:r>
          </w:hyperlink>
        </w:p>
        <w:p>
          <w:pPr>
            <w:pStyle w:val="TOC2"/>
            <w:tabs>
              <w:tab w:val="clear" w:pos="9349"/>
              <w:tab w:val="right" w:pos="9631" w:leader="dot"/>
            </w:tabs>
            <w:rPr/>
          </w:pPr>
          <w:hyperlink w:anchor="__RefHeading___Toc11120_1564873447">
            <w:r>
              <w:rPr>
                <w:webHidden/>
                <w:rStyle w:val="IndexLink"/>
              </w:rPr>
              <w:t>19.3 Idiomas, mensajes y manejo de errores</w:t>
              <w:tab/>
              <w:t>23</w:t>
            </w:r>
          </w:hyperlink>
        </w:p>
        <w:p>
          <w:pPr>
            <w:pStyle w:val="TOC2"/>
            <w:tabs>
              <w:tab w:val="clear" w:pos="9349"/>
              <w:tab w:val="right" w:pos="9631" w:leader="dot"/>
            </w:tabs>
            <w:rPr/>
          </w:pPr>
          <w:hyperlink w:anchor="__RefHeading___Toc11122_1564873447">
            <w:r>
              <w:rPr>
                <w:webHidden/>
                <w:rStyle w:val="IndexLink"/>
              </w:rPr>
              <w:t>19.4 API interna</w:t>
              <w:tab/>
              <w:t>23</w:t>
            </w:r>
          </w:hyperlink>
        </w:p>
        <w:p>
          <w:pPr>
            <w:pStyle w:val="TOC1"/>
            <w:tabs>
              <w:tab w:val="clear" w:pos="9632"/>
              <w:tab w:val="right" w:pos="9631" w:leader="dot"/>
            </w:tabs>
            <w:rPr/>
          </w:pPr>
          <w:hyperlink w:anchor="__RefHeading___Toc11124_1564873447">
            <w:r>
              <w:rPr>
                <w:webHidden/>
                <w:rStyle w:val="IndexLink"/>
              </w:rPr>
              <w:t>20. Módulos</w:t>
              <w:tab/>
              <w:t>24</w:t>
            </w:r>
          </w:hyperlink>
        </w:p>
        <w:p>
          <w:pPr>
            <w:pStyle w:val="TOC1"/>
            <w:tabs>
              <w:tab w:val="clear" w:pos="9632"/>
              <w:tab w:val="right" w:pos="9631" w:leader="dot"/>
            </w:tabs>
            <w:rPr/>
          </w:pPr>
          <w:hyperlink w:anchor="__RefHeading___Toc11126_1564873447">
            <w:r>
              <w:rPr>
                <w:webHidden/>
                <w:rStyle w:val="IndexLink"/>
              </w:rPr>
              <w:t>21. Flujo de datos</w:t>
              <w:tab/>
              <w:t>24</w:t>
            </w:r>
          </w:hyperlink>
        </w:p>
        <w:p>
          <w:pPr>
            <w:pStyle w:val="TOC1"/>
            <w:tabs>
              <w:tab w:val="clear" w:pos="9632"/>
              <w:tab w:val="right" w:pos="9631" w:leader="dot"/>
            </w:tabs>
            <w:rPr/>
          </w:pPr>
          <w:hyperlink w:anchor="__RefHeading___Toc11128_1564873447">
            <w:r>
              <w:rPr>
                <w:webHidden/>
                <w:rStyle w:val="IndexLink"/>
              </w:rPr>
              <w:t>22. Configuración</w:t>
              <w:tab/>
              <w:t>25</w:t>
            </w:r>
          </w:hyperlink>
        </w:p>
        <w:p>
          <w:pPr>
            <w:pStyle w:val="TOC1"/>
            <w:tabs>
              <w:tab w:val="clear" w:pos="9632"/>
              <w:tab w:val="right" w:pos="9631" w:leader="dot"/>
            </w:tabs>
            <w:rPr/>
          </w:pPr>
          <w:hyperlink w:anchor="__RefHeading___Toc11130_1564873447">
            <w:r>
              <w:rPr>
                <w:webHidden/>
                <w:rStyle w:val="IndexLink"/>
              </w:rPr>
              <w:t>23. Formatos de datos</w:t>
              <w:tab/>
              <w:t>25</w:t>
            </w:r>
          </w:hyperlink>
        </w:p>
        <w:p>
          <w:pPr>
            <w:pStyle w:val="TOC1"/>
            <w:tabs>
              <w:tab w:val="clear" w:pos="9632"/>
              <w:tab w:val="right" w:pos="9631" w:leader="dot"/>
            </w:tabs>
            <w:rPr/>
          </w:pPr>
          <w:hyperlink w:anchor="__RefHeading___Toc11132_1564873447">
            <w:r>
              <w:rPr>
                <w:webHidden/>
                <w:rStyle w:val="IndexLink"/>
              </w:rPr>
              <w:t>24. Reproducibilidad</w:t>
              <w:tab/>
              <w:t>26</w:t>
            </w:r>
          </w:hyperlink>
        </w:p>
        <w:p>
          <w:pPr>
            <w:pStyle w:val="TOC1"/>
            <w:tabs>
              <w:tab w:val="clear" w:pos="9632"/>
              <w:tab w:val="right" w:pos="9631" w:leader="dot"/>
            </w:tabs>
            <w:rPr/>
          </w:pPr>
          <w:hyperlink w:anchor="__RefHeading___Toc11134_1564873447">
            <w:r>
              <w:rPr>
                <w:webHidden/>
                <w:rStyle w:val="IndexLink"/>
              </w:rPr>
              <w:t>25. Verificación del software</w:t>
              <w:tab/>
              <w:t>26</w:t>
            </w:r>
          </w:hyperlink>
        </w:p>
        <w:p>
          <w:pPr>
            <w:pStyle w:val="TOC2"/>
            <w:tabs>
              <w:tab w:val="clear" w:pos="9349"/>
              <w:tab w:val="right" w:pos="9631" w:leader="dot"/>
            </w:tabs>
            <w:rPr/>
          </w:pPr>
          <w:hyperlink w:anchor="__RefHeading___Toc11136_1564873447">
            <w:r>
              <w:rPr>
                <w:webHidden/>
                <w:rStyle w:val="IndexLink"/>
              </w:rPr>
              <w:t>25.1 Robustez de la interfaz gráfica</w:t>
              <w:tab/>
              <w:t>27</w:t>
            </w:r>
          </w:hyperlink>
        </w:p>
        <w:p>
          <w:pPr>
            <w:pStyle w:val="TOC1"/>
            <w:tabs>
              <w:tab w:val="clear" w:pos="9632"/>
              <w:tab w:val="right" w:pos="9631" w:leader="dot"/>
            </w:tabs>
            <w:rPr/>
          </w:pPr>
          <w:hyperlink w:anchor="__RefHeading___Toc11138_1564873447">
            <w:r>
              <w:rPr>
                <w:webHidden/>
                <w:rStyle w:val="IndexLink"/>
              </w:rPr>
              <w:t>26. Validación científica y resultados de referencia</w:t>
              <w:tab/>
              <w:t>27</w:t>
            </w:r>
          </w:hyperlink>
        </w:p>
        <w:p>
          <w:pPr>
            <w:pStyle w:val="TOC2"/>
            <w:tabs>
              <w:tab w:val="clear" w:pos="9349"/>
              <w:tab w:val="right" w:pos="9631" w:leader="dot"/>
            </w:tabs>
            <w:rPr/>
          </w:pPr>
          <w:hyperlink w:anchor="__RefHeading___Toc11140_1564873447">
            <w:r>
              <w:rPr>
                <w:webHidden/>
                <w:rStyle w:val="IndexLink"/>
              </w:rPr>
              <w:t>26.1 Caso nominal y consistencia</w:t>
              <w:tab/>
              <w:t>28</w:t>
            </w:r>
          </w:hyperlink>
        </w:p>
        <w:p>
          <w:pPr>
            <w:pStyle w:val="TOC2"/>
            <w:tabs>
              <w:tab w:val="clear" w:pos="9349"/>
              <w:tab w:val="right" w:pos="9631" w:leader="dot"/>
            </w:tabs>
            <w:rPr/>
          </w:pPr>
          <w:hyperlink w:anchor="__RefHeading___Toc11142_1564873447">
            <w:r>
              <w:rPr>
                <w:webHidden/>
                <w:rStyle w:val="IndexLink"/>
              </w:rPr>
              <w:t>26.2 Benchmarks de degradación</w:t>
              <w:tab/>
              <w:t>28</w:t>
            </w:r>
          </w:hyperlink>
        </w:p>
        <w:p>
          <w:pPr>
            <w:pStyle w:val="TOC2"/>
            <w:tabs>
              <w:tab w:val="clear" w:pos="9349"/>
              <w:tab w:val="right" w:pos="9631" w:leader="dot"/>
            </w:tabs>
            <w:rPr/>
          </w:pPr>
          <w:hyperlink w:anchor="__RefHeading___Toc11144_1564873447">
            <w:r>
              <w:rPr>
                <w:webHidden/>
                <w:rStyle w:val="IndexLink"/>
              </w:rPr>
              <w:t>26.3 Otros modelos</w:t>
              <w:tab/>
              <w:t>31</w:t>
            </w:r>
          </w:hyperlink>
        </w:p>
        <w:p>
          <w:pPr>
            <w:pStyle w:val="TOC2"/>
            <w:tabs>
              <w:tab w:val="clear" w:pos="9349"/>
              <w:tab w:val="right" w:pos="9631" w:leader="dot"/>
            </w:tabs>
            <w:rPr/>
          </w:pPr>
          <w:hyperlink w:anchor="__RefHeading___Toc11146_1564873447">
            <w:r>
              <w:rPr>
                <w:webHidden/>
                <w:rStyle w:val="IndexLink"/>
              </w:rPr>
              <w:t>26.4 Sensor dominante (ST-BENCH-16)</w:t>
              <w:tab/>
              <w:t>31</w:t>
            </w:r>
          </w:hyperlink>
        </w:p>
        <w:p>
          <w:pPr>
            <w:pStyle w:val="TOC2"/>
            <w:tabs>
              <w:tab w:val="clear" w:pos="9349"/>
              <w:tab w:val="right" w:pos="9631" w:leader="dot"/>
            </w:tabs>
            <w:rPr/>
          </w:pPr>
          <w:hyperlink w:anchor="__RefHeading___Toc11148_1564873447">
            <w:r>
              <w:rPr>
                <w:webHidden/>
                <w:rStyle w:val="IndexLink"/>
              </w:rPr>
              <w:t>26.5 Comparación de métodos (sesgo + ruido)</w:t>
              <w:tab/>
              <w:t>32</w:t>
            </w:r>
          </w:hyperlink>
        </w:p>
        <w:p>
          <w:pPr>
            <w:pStyle w:val="TOC2"/>
            <w:tabs>
              <w:tab w:val="clear" w:pos="9349"/>
              <w:tab w:val="right" w:pos="9631" w:leader="dot"/>
            </w:tabs>
            <w:rPr/>
          </w:pPr>
          <w:hyperlink w:anchor="__RefHeading___Toc11150_1564873447">
            <w:r>
              <w:rPr>
                <w:webHidden/>
                <w:rStyle w:val="IndexLink"/>
              </w:rPr>
              <w:t>26.6 Monte Carlo</w:t>
              <w:tab/>
              <w:t>32</w:t>
            </w:r>
          </w:hyperlink>
        </w:p>
        <w:p>
          <w:pPr>
            <w:pStyle w:val="TOC2"/>
            <w:tabs>
              <w:tab w:val="clear" w:pos="9349"/>
              <w:tab w:val="right" w:pos="9631" w:leader="dot"/>
            </w:tabs>
            <w:rPr/>
          </w:pPr>
          <w:hyperlink w:anchor="__RefHeading___Toc11152_1564873447">
            <w:r>
              <w:rPr>
                <w:webHidden/>
                <w:rStyle w:val="IndexLink"/>
              </w:rPr>
              <w:t>26.7 Envolvente de robustez</w:t>
              <w:tab/>
              <w:t>35</w:t>
            </w:r>
          </w:hyperlink>
        </w:p>
        <w:p>
          <w:pPr>
            <w:pStyle w:val="TOC2"/>
            <w:tabs>
              <w:tab w:val="clear" w:pos="9349"/>
              <w:tab w:val="right" w:pos="9631" w:leader="dot"/>
            </w:tabs>
            <w:rPr/>
          </w:pPr>
          <w:hyperlink w:anchor="__RefHeading___Toc11154_1564873447">
            <w:r>
              <w:rPr>
                <w:webHidden/>
                <w:rStyle w:val="IndexLink"/>
              </w:rPr>
              <w:t>26.8 Barrido paramétrico</w:t>
              <w:tab/>
              <w:t>36</w:t>
            </w:r>
          </w:hyperlink>
        </w:p>
        <w:p>
          <w:pPr>
            <w:pStyle w:val="TOC2"/>
            <w:tabs>
              <w:tab w:val="clear" w:pos="9349"/>
              <w:tab w:val="right" w:pos="9631" w:leader="dot"/>
            </w:tabs>
            <w:rPr/>
          </w:pPr>
          <w:hyperlink w:anchor="__RefHeading___Toc11156_1564873447">
            <w:r>
              <w:rPr>
                <w:webHidden/>
                <w:rStyle w:val="IndexLink"/>
              </w:rPr>
              <w:t>26.9 Sensibilidad</w:t>
              <w:tab/>
              <w:t>36</w:t>
            </w:r>
          </w:hyperlink>
        </w:p>
        <w:p>
          <w:pPr>
            <w:pStyle w:val="TOC2"/>
            <w:tabs>
              <w:tab w:val="clear" w:pos="9349"/>
              <w:tab w:val="right" w:pos="9631" w:leader="dot"/>
            </w:tabs>
            <w:rPr/>
          </w:pPr>
          <w:hyperlink w:anchor="__RefHeading___Toc11158_1564873447">
            <w:r>
              <w:rPr>
                <w:webHidden/>
                <w:rStyle w:val="IndexLink"/>
              </w:rPr>
              <w:t>26.10 Revisión final</w:t>
              <w:tab/>
              <w:t>37</w:t>
            </w:r>
          </w:hyperlink>
        </w:p>
        <w:p>
          <w:pPr>
            <w:pStyle w:val="TOC1"/>
            <w:tabs>
              <w:tab w:val="clear" w:pos="9632"/>
              <w:tab w:val="right" w:pos="9631" w:leader="dot"/>
            </w:tabs>
            <w:rPr/>
          </w:pPr>
          <w:hyperlink w:anchor="__RefHeading___Toc11160_1564873447">
            <w:r>
              <w:rPr>
                <w:webHidden/>
                <w:rStyle w:val="IndexLink"/>
              </w:rPr>
              <w:t>27. Instalación</w:t>
              <w:tab/>
              <w:t>38</w:t>
            </w:r>
          </w:hyperlink>
        </w:p>
        <w:p>
          <w:pPr>
            <w:pStyle w:val="TOC1"/>
            <w:tabs>
              <w:tab w:val="clear" w:pos="9632"/>
              <w:tab w:val="right" w:pos="9631" w:leader="dot"/>
            </w:tabs>
            <w:rPr/>
          </w:pPr>
          <w:hyperlink w:anchor="__RefHeading___Toc11162_1564873447">
            <w:r>
              <w:rPr>
                <w:webHidden/>
                <w:rStyle w:val="IndexLink"/>
              </w:rPr>
              <w:t>28. Ejecución</w:t>
              <w:tab/>
              <w:t>38</w:t>
            </w:r>
          </w:hyperlink>
        </w:p>
        <w:p>
          <w:pPr>
            <w:pStyle w:val="TOC1"/>
            <w:tabs>
              <w:tab w:val="clear" w:pos="9632"/>
              <w:tab w:val="right" w:pos="9631" w:leader="dot"/>
            </w:tabs>
            <w:rPr/>
          </w:pPr>
          <w:hyperlink w:anchor="__RefHeading___Toc11164_1564873447">
            <w:r>
              <w:rPr>
                <w:webHidden/>
                <w:rStyle w:val="IndexLink"/>
              </w:rPr>
              <w:t>29. Limitaciones</w:t>
              <w:tab/>
              <w:t>39</w:t>
            </w:r>
          </w:hyperlink>
        </w:p>
        <w:p>
          <w:pPr>
            <w:pStyle w:val="TOC1"/>
            <w:tabs>
              <w:tab w:val="clear" w:pos="9632"/>
              <w:tab w:val="right" w:pos="9631" w:leader="dot"/>
            </w:tabs>
            <w:rPr/>
          </w:pPr>
          <w:hyperlink w:anchor="__RefHeading___Toc11166_1564873447">
            <w:r>
              <w:rPr>
                <w:webHidden/>
                <w:rStyle w:val="IndexLink"/>
              </w:rPr>
              <w:t>Glosario</w:t>
              <w:tab/>
              <w:t>39</w:t>
            </w:r>
          </w:hyperlink>
        </w:p>
        <w:p>
          <w:pPr>
            <w:pStyle w:val="TOC1"/>
            <w:tabs>
              <w:tab w:val="clear" w:pos="9632"/>
              <w:tab w:val="right" w:pos="9631" w:leader="dot"/>
            </w:tabs>
            <w:rPr/>
          </w:pPr>
          <w:hyperlink w:anchor="__RefHeading___Toc11168_1564873447">
            <w:r>
              <w:rPr>
                <w:webHidden/>
                <w:rStyle w:val="IndexLink"/>
              </w:rPr>
              <w:t>Referencias</w:t>
              <w:tab/>
              <w:t>39</w:t>
            </w:r>
          </w:hyperlink>
          <w:r>
            <w:rPr>
              <w:rStyle w:val="IndexLink"/>
            </w:rPr>
            <w:fldChar w:fldCharType="end"/>
          </w:r>
        </w:p>
      </w:sdtContent>
    </w:sdt>
    <w:p>
      <w:pPr>
        <w:pStyle w:val="Heading1"/>
        <w:spacing w:before="0" w:after="80"/>
        <w:rPr/>
      </w:pPr>
      <w:r>
        <w:br w:type="page"/>
      </w:r>
      <w:bookmarkStart w:id="0" w:name="__RefHeading___Toc10992_1564873447"/>
      <w:bookmarkStart w:id="1" w:name="introducción"/>
      <w:bookmarkEnd w:id="0"/>
      <w:r>
        <w:rPr/>
        <w:t>1. Introducción</w:t>
      </w:r>
    </w:p>
    <w:p>
      <w:pPr>
        <w:pStyle w:val="Heading2"/>
        <w:rPr/>
      </w:pPr>
      <w:bookmarkStart w:id="2" w:name="__RefHeading___Toc10994_1564873447"/>
      <w:bookmarkStart w:id="3" w:name="propósito-del-documento"/>
      <w:bookmarkEnd w:id="2"/>
      <w:r>
        <w:rPr/>
        <w:t>1.1 Propósito del documento</w:t>
      </w:r>
    </w:p>
    <w:p>
      <w:pPr>
        <w:pStyle w:val="FirstParagraph"/>
        <w:rPr/>
      </w:pPr>
      <w:r>
        <w:rPr/>
        <w:t xml:space="preserve">Este Manual Técnico describe los fundamentos científicos, los modelos matemáticos, los algoritmos, la arquitectura, los formatos de datos, los mecanismos de reproducibilidad, la verificación y la validación de </w:t>
      </w:r>
      <w:r>
        <w:rPr>
          <w:b/>
          <w:bCs/>
        </w:rPr>
        <w:t>SensorTrust Fusion v1.0.0</w:t>
      </w:r>
      <w:r>
        <w:rPr/>
        <w:t xml:space="preserve"> (</w:t>
      </w:r>
      <w:r>
        <w:rPr>
          <w:i/>
          <w:iCs/>
        </w:rPr>
        <w:t>A Scientific Platform for Adaptive Multisensor Fusion Under Sensor Degradation and Uncertainty</w:t>
      </w:r>
      <w:r>
        <w:rPr/>
        <w:t xml:space="preserve"> / </w:t>
      </w:r>
      <w:r>
        <w:rPr>
          <w:i/>
          <w:iCs/>
        </w:rPr>
        <w:t>Plataforma científica para fusión multisensor adaptativa bajo degradación e incertidumbre de sensores</w:t>
      </w:r>
      <w:r>
        <w:rPr/>
        <w:t>).</w:t>
      </w:r>
    </w:p>
    <w:p>
      <w:pPr>
        <w:pStyle w:val="BodyText"/>
        <w:rPr/>
      </w:pPr>
      <w:r>
        <w:rPr/>
        <w:t>Todas las ecuaciones de este documento corresponden a lo que el código fuente implementa; cuando una ecuación se relaciona con un módulo concreto se indica su ubicación (</w:t>
      </w:r>
      <w:r>
        <w:rPr>
          <w:rStyle w:val="VerbatimChar"/>
        </w:rPr>
        <w:t>src/sensortrust/...</w:t>
      </w:r>
      <w:r>
        <w:rPr/>
        <w:t xml:space="preserve">). Las cifras, tablas y figuras de resultados provienen de ejecuciones reales del software con las configuraciones incluidas en </w:t>
      </w:r>
      <w:r>
        <w:rPr>
          <w:rStyle w:val="VerbatimChar"/>
        </w:rPr>
        <w:t>benchmarks/</w:t>
      </w:r>
      <w:r>
        <w:rPr/>
        <w:t xml:space="preserve"> y </w:t>
      </w:r>
      <w:r>
        <w:rPr>
          <w:rStyle w:val="VerbatimChar"/>
        </w:rPr>
        <w:t>configs/</w:t>
      </w:r>
      <w:r>
        <w:rPr/>
        <w:t xml:space="preserve"> (semillas fijas); cualquier usuario puede reproducirlas con los comandos indicados en la sección 26.</w:t>
      </w:r>
      <w:bookmarkEnd w:id="3"/>
    </w:p>
    <w:p>
      <w:pPr>
        <w:pStyle w:val="Heading2"/>
        <w:rPr/>
      </w:pPr>
      <w:bookmarkStart w:id="4" w:name="__RefHeading___Toc10996_1564873447"/>
      <w:bookmarkStart w:id="5" w:name="descripción-general-del-software"/>
      <w:bookmarkEnd w:id="4"/>
      <w:r>
        <w:rPr/>
        <w:t>1.2 Descripción general del software</w:t>
      </w:r>
    </w:p>
    <w:p>
      <w:pPr>
        <w:pStyle w:val="FirstParagraph"/>
        <w:rPr/>
      </w:pPr>
      <w:r>
        <w:rPr/>
        <w:t>SensorTrust Fusion es una plataforma computacional para diseñar y ejecutar experimentos sobre fusión multisensor en presencia de degradación no estacionaria, incertidumbre y fallos de sensores. La plataforma genera la evolución verdadera de un sistema dinámico (</w:t>
      </w:r>
      <w:r>
        <w:rPr>
          <w:i/>
          <w:iCs/>
        </w:rPr>
        <w:t>ground truth</w:t>
      </w:r>
      <w:r>
        <w:rPr/>
        <w:t>), simula cualquier número de sensores virtuales con modelos de ruido y degradaciones configurables, ejecuta sobre exactamente el mismo conjunto de mediciones distintos algoritmos de estimación y fusión, estima dinámicamente la confiabilidad de cada sensor a partir de la innovación, cuantifica el desempeño con métricas objetivas y permite estudios Monte Carlo, barridos paramétricos, envolventes de robustez y análisis de sensibilidad, todos reproducibles mediante semillas.</w:t>
      </w:r>
    </w:p>
    <w:p>
      <w:pPr>
        <w:pStyle w:val="BodyText"/>
        <w:rPr/>
      </w:pPr>
      <w:r>
        <w:rPr/>
        <w:t xml:space="preserve">La versión 1.0.0 es completamente autónoma: </w:t>
      </w:r>
      <w:r>
        <w:rPr>
          <w:b/>
          <w:bCs/>
        </w:rPr>
        <w:t>no requiere hardware externo</w:t>
      </w:r>
      <w:r>
        <w:rPr/>
        <w:t xml:space="preserve"> (microcontroladores, tarjetas de adquisición, sensores físicos, puertos seriales, buses de campo ni instrumentación). Todos los experimentos, benchmarks, validaciones y capturas de pantalla se obtuvieron exclusivamente con simulación computacional y sensores virtuales. La importación de datos externos (CSV, TXT, JSON) existe como capacidad opcional.</w:t>
      </w:r>
      <w:bookmarkEnd w:id="5"/>
    </w:p>
    <w:p>
      <w:pPr>
        <w:pStyle w:val="Heading2"/>
        <w:rPr/>
      </w:pPr>
      <w:bookmarkStart w:id="6" w:name="__RefHeading___Toc10998_1564873447"/>
      <w:bookmarkStart w:id="7" w:name="carácter-científico"/>
      <w:bookmarkEnd w:id="6"/>
      <w:r>
        <w:rPr/>
        <w:t>1.3 Carácter científico</w:t>
      </w:r>
    </w:p>
    <w:p>
      <w:pPr>
        <w:pStyle w:val="FirstParagraph"/>
        <w:rPr/>
      </w:pPr>
      <w:bookmarkStart w:id="8" w:name="introducción"/>
      <w:bookmarkStart w:id="9" w:name="carácter-científico"/>
      <w:r>
        <w:rPr/>
        <w:t>El carácter científico del software no se fundamenta en el uso de ecuaciones, sino en que permite: diseñar experimentos controlados; generar el valor verdadero del sistema; modelar sensores; simular degradaciones con perfiles temporales; desarrollar e incorporar algoritmos; formular y probar hipótesis (por ejemplo, «el segundo momento de la innovación aporta información no contenida en la media»); ejecutar Monte Carlo; medir la incertidumbre de los resultados (intervalos de confianza, pruebas pareadas); comparar métodos sobre datos idénticos; cuantificar desempeño, robustez y sensibilidad; repetir exactamente experimentos anteriores (semillas, manifiestos y huellas criptográficas) y generar conjuntos de datos reutilizables.</w:t>
      </w:r>
      <w:bookmarkEnd w:id="8"/>
      <w:bookmarkEnd w:id="9"/>
    </w:p>
    <w:p>
      <w:pPr>
        <w:pStyle w:val="Heading1"/>
        <w:rPr/>
      </w:pPr>
      <w:bookmarkStart w:id="10" w:name="__RefHeading___Toc11000_1564873447"/>
      <w:bookmarkStart w:id="11" w:name="objetivo"/>
      <w:bookmarkEnd w:id="10"/>
      <w:r>
        <w:rPr/>
        <w:t>2. Objetivo</w:t>
      </w:r>
    </w:p>
    <w:p>
      <w:pPr>
        <w:pStyle w:val="Heading2"/>
        <w:rPr/>
      </w:pPr>
      <w:bookmarkStart w:id="12" w:name="__RefHeading___Toc11002_1564873447"/>
      <w:bookmarkStart w:id="13" w:name="objetivo-general"/>
      <w:bookmarkEnd w:id="12"/>
      <w:r>
        <w:rPr/>
        <w:t>2.1 Objetivo general</w:t>
      </w:r>
    </w:p>
    <w:p>
      <w:pPr>
        <w:pStyle w:val="FirstParagraph"/>
        <w:rPr/>
      </w:pPr>
      <w:bookmarkStart w:id="14" w:name="objetivo-general"/>
      <w:r>
        <w:rPr/>
        <w:t>Desarrollar una plataforma computacional reproducible para modelar, simular, analizar y comparar algoritmos de fusión multisensor bajo condiciones nominales, incertidumbre, fallos y degradación no estacionaria, permitiendo estimar dinámicamente la confiabilidad de las mediciones y cuantificar su impacto sobre el desempeño de estimación.</w:t>
      </w:r>
      <w:bookmarkEnd w:id="14"/>
    </w:p>
    <w:p>
      <w:pPr>
        <w:pStyle w:val="Heading2"/>
        <w:rPr/>
      </w:pPr>
      <w:bookmarkStart w:id="15" w:name="__RefHeading___Toc11004_1564873447"/>
      <w:bookmarkStart w:id="16" w:name="objetivos-específicos"/>
      <w:bookmarkEnd w:id="15"/>
      <w:r>
        <w:rPr/>
        <w:t>2.2 Objetivos específicos</w:t>
      </w:r>
    </w:p>
    <w:p>
      <w:pPr>
        <w:pStyle w:val="Compact"/>
        <w:numPr>
          <w:ilvl w:val="0"/>
          <w:numId w:val="9"/>
        </w:numPr>
        <w:rPr/>
      </w:pPr>
      <w:r>
        <w:rPr/>
        <w:t>Generar trayectorias verdaderas de sistemas dinámicos lineales y no lineales y mediciones de sensores virtuales con ruido, degradación y pérdida de datos configurables, conservando el valor verdadero de los fallos.</w:t>
      </w:r>
    </w:p>
    <w:p>
      <w:pPr>
        <w:pStyle w:val="Compact"/>
        <w:numPr>
          <w:ilvl w:val="0"/>
          <w:numId w:val="1"/>
        </w:numPr>
        <w:rPr/>
      </w:pPr>
      <w:r>
        <w:rPr/>
        <w:t>Implementar estimadores (KF, EKF, UKF), estrategias de adaptación de covarianza y un estimador de confianza basado en los dos primeros momentos de la innovación, desacoplados entre sí.</w:t>
      </w:r>
    </w:p>
    <w:p>
      <w:pPr>
        <w:pStyle w:val="Compact"/>
        <w:numPr>
          <w:ilvl w:val="0"/>
          <w:numId w:val="1"/>
        </w:numPr>
        <w:rPr/>
      </w:pPr>
      <w:r>
        <w:rPr/>
        <w:t>Comparar métodos de manera justa: todos los algoritmos se ejecutan sobre el mismo conjunto de datos de escenario.</w:t>
      </w:r>
    </w:p>
    <w:p>
      <w:pPr>
        <w:pStyle w:val="Compact"/>
        <w:numPr>
          <w:ilvl w:val="0"/>
          <w:numId w:val="1"/>
        </w:numPr>
        <w:rPr/>
      </w:pPr>
      <w:r>
        <w:rPr/>
        <w:t>Cuantificar error, consistencia, detección, confianza, pesos y robustez con métricas explícitas.</w:t>
      </w:r>
    </w:p>
    <w:p>
      <w:pPr>
        <w:pStyle w:val="Compact"/>
        <w:numPr>
          <w:ilvl w:val="0"/>
          <w:numId w:val="1"/>
        </w:numPr>
        <w:rPr/>
      </w:pPr>
      <w:r>
        <w:rPr/>
        <w:t>Ejecutar Monte Carlo, diseños de experimentos, barridos, envolventes de robustez y análisis de sensibilidad.</w:t>
      </w:r>
    </w:p>
    <w:p>
      <w:pPr>
        <w:pStyle w:val="Compact"/>
        <w:numPr>
          <w:ilvl w:val="0"/>
          <w:numId w:val="1"/>
        </w:numPr>
        <w:rPr/>
      </w:pPr>
      <w:bookmarkStart w:id="17" w:name="objetivos-específicos"/>
      <w:r>
        <w:rPr/>
        <w:t>Garantizar la reproducibilidad completa de cada resultado.</w:t>
      </w:r>
      <w:bookmarkEnd w:id="17"/>
    </w:p>
    <w:p>
      <w:pPr>
        <w:pStyle w:val="Heading2"/>
        <w:rPr/>
      </w:pPr>
      <w:bookmarkStart w:id="18" w:name="__RefHeading___Toc11006_1564873447"/>
      <w:bookmarkStart w:id="19" w:name="Xb2fafa44d02e013d48d518e81b4d16d2b06fb45"/>
      <w:bookmarkEnd w:id="18"/>
      <w:r>
        <w:rPr/>
        <w:t>2.3 Preguntas científicas que permite estudiar</w:t>
      </w:r>
    </w:p>
    <w:p>
      <w:pPr>
        <w:pStyle w:val="FirstParagraph"/>
        <w:rPr/>
      </w:pPr>
      <w:bookmarkStart w:id="20" w:name="objetivo"/>
      <w:bookmarkStart w:id="21" w:name="Xb2fafa44d02e013d48d518e81b4d16d2b06fb45"/>
      <w:r>
        <w:rPr/>
        <w:t>¿Cómo cambia la estimación cuando uno o varios sensores se degradan? ¿Cómo responde un algoritmo ante sesgo, aumento de varianza o deriva? ¿Puede inferirse la pérdida de confiabilidad mediante la innovación? ¿Es suficiente la media de la innovación o qué aporta el segundo momento? ¿Cuánto tarda un algoritmo en reaccionar y en recuperar la confianza? ¿Qué ocurre ante fallos simultáneos? ¿Qué método mantiene menor error y produce menos falsas alarmas? ¿Qué severidad puede tolerarse antes de incumplir una especificación? ¿Qué parámetros explican la variabilidad del desempeño? El capítulo 26 presenta resultados reales para varias de estas preguntas.</w:t>
      </w:r>
      <w:bookmarkEnd w:id="20"/>
      <w:bookmarkEnd w:id="21"/>
    </w:p>
    <w:p>
      <w:pPr>
        <w:pStyle w:val="Heading1"/>
        <w:rPr/>
      </w:pPr>
      <w:bookmarkStart w:id="22" w:name="__RefHeading___Toc11008_1564873447"/>
      <w:bookmarkStart w:id="23" w:name="alcance"/>
      <w:bookmarkEnd w:id="22"/>
      <w:r>
        <w:rPr/>
        <w:t>3. Alcance</w:t>
      </w:r>
    </w:p>
    <w:p>
      <w:pPr>
        <w:pStyle w:val="FirstParagraph"/>
        <w:rPr/>
      </w:pPr>
      <w:r>
        <w:rPr>
          <w:b/>
          <w:bCs/>
        </w:rPr>
        <w:t>Incluye:</w:t>
      </w:r>
      <w:r>
        <w:rPr/>
        <w:t xml:space="preserve"> seis modelos dinámicos predefinidos y modelos lineales definidos por el usuario; sensores virtuales con número arbitrario de sensores, frecuencia, resolución, rango, sesgo nominal, retardo y pérdida de datos; ocho modelos de ruido; quince tipos de degradación y ocho perfiles temporales con recuperación; filtros KF, EKF y UKF; fusión centralizada y a nivel de estimaciones; cuatro estrategias de covarianza (nominal, verdadera-oráculo, adaptativa Sage–Husa y SensorTrust); estimadores de confianza y detectores de degradación; métricas de estimación, consistencia (NIS, NEES), detección, confianza, pesos y robustez; motor Monte Carlo, diseños aleatorio, LHS, Sobol y de rejilla; barridos paramétricos, envolventes y mapas de robustez; sensibilidad OAT, Morris y Sobol; estadística descriptiva y pruebas pareadas; interfaz gráfica bilingüe (español/inglés), interfaz de línea de comandos y API de Python; exportación CSV, JSON, YAML, PNG, SVG y PDF; importación opcional de datos externos.</w:t>
      </w:r>
    </w:p>
    <w:p>
      <w:pPr>
        <w:pStyle w:val="BodyText"/>
        <w:rPr/>
      </w:pPr>
      <w:r>
        <w:rPr>
          <w:b/>
          <w:bCs/>
        </w:rPr>
        <w:t>No incluye (v1.0.0):</w:t>
      </w:r>
      <w:r>
        <w:rPr/>
        <w:t xml:space="preserve"> comunicación con hardware, adquisición en tiempo real, arquitecturas distribuidas con comunicación entre nodos, modelos de sensores con dinámica propia (p. ej., filtros internos), ni estimación de parámetros del modelo dinámico.</w:t>
      </w:r>
      <w:bookmarkEnd w:id="23"/>
    </w:p>
    <w:p>
      <w:pPr>
        <w:pStyle w:val="Heading1"/>
        <w:rPr/>
      </w:pPr>
      <w:bookmarkStart w:id="24" w:name="__RefHeading___Toc11010_1564873447"/>
      <w:bookmarkStart w:id="25" w:name="fundamentos-científicos"/>
      <w:bookmarkEnd w:id="24"/>
      <w:r>
        <w:rPr/>
        <w:t>4. Fundamentos científicos</w:t>
      </w:r>
    </w:p>
    <w:p>
      <w:pPr>
        <w:pStyle w:val="Heading2"/>
        <w:rPr/>
      </w:pPr>
      <w:bookmarkStart w:id="26" w:name="__RefHeading___Toc11012_1564873447"/>
      <w:bookmarkStart w:id="27" w:name="problema-de-fusión-bajo-degradación"/>
      <w:bookmarkEnd w:id="26"/>
      <w:r>
        <w:rPr/>
        <w:t>4.1 Problema de fusión bajo degradación</w:t>
      </w:r>
    </w:p>
    <w:p>
      <w:pPr>
        <w:pStyle w:val="FirstParagraph"/>
        <w:rPr/>
      </w:pPr>
      <w:r>
        <w:rPr/>
        <w:t xml:space="preserve">Se consideran </w:t>
      </w:r>
      <w:r>
        <w:rPr/>
      </w:r>
      <m:oMath xmlns:m="http://schemas.openxmlformats.org/officeDocument/2006/math">
        <m:sSub>
          <m:e>
            <m:r>
              <w:rPr>
                <w:rFonts w:ascii="Cambria Math" w:hAnsi="Cambria Math"/>
              </w:rPr>
              <m:t xml:space="preserve">N</m:t>
            </m:r>
          </m:e>
          <m:sub>
            <m:r>
              <w:rPr>
                <w:rFonts w:ascii="Cambria Math" w:hAnsi="Cambria Math"/>
              </w:rPr>
              <m:t xml:space="preserve">s</m:t>
            </m:r>
          </m:sub>
        </m:sSub>
      </m:oMath>
      <w:r>
        <w:rPr/>
        <w:t xml:space="preserve"> sensores que observan el estado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n</m:t>
            </m:r>
          </m:sup>
        </m:sSup>
      </m:oMath>
      <w:r>
        <w:rPr/>
        <w:t xml:space="preserve"> de un sistema dinámico. Cada sensor </w:t>
      </w:r>
      <w:r>
        <w:rPr/>
      </w:r>
      <m:oMath xmlns:m="http://schemas.openxmlformats.org/officeDocument/2006/math">
        <m:r>
          <w:rPr>
            <w:rFonts w:ascii="Cambria Math" w:hAnsi="Cambria Math"/>
          </w:rPr>
          <m:t xml:space="preserve">i</m:t>
        </m:r>
      </m:oMath>
      <w:r>
        <w:rPr/>
        <w:t xml:space="preserve"> produce </w:t>
      </w:r>
      <w:r>
        <w:rPr/>
      </w:r>
      <m:oMath xmlns:m="http://schemas.openxmlformats.org/officeDocument/2006/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r>
              <w:rPr>
                <w:rFonts w:ascii="Cambria Math" w:hAnsi="Cambria Math"/>
              </w:rPr>
              <m:t xml:space="preserve">R</m:t>
            </m:r>
          </m:e>
          <m:sup>
            <m:sSub>
              <m:e>
                <m:r>
                  <w:rPr>
                    <w:rFonts w:ascii="Cambria Math" w:hAnsi="Cambria Math"/>
                  </w:rPr>
                  <m:t xml:space="preserve">m</m:t>
                </m:r>
              </m:e>
              <m:sub>
                <m:r>
                  <w:rPr>
                    <w:rFonts w:ascii="Cambria Math" w:hAnsi="Cambria Math"/>
                  </w:rPr>
                  <m:t xml:space="preserve">i</m:t>
                </m:r>
              </m:sub>
            </m:sSub>
          </m:sup>
        </m:sSup>
      </m:oMath>
      <w:r>
        <w:rPr/>
        <w:t xml:space="preserve">. Bajo la hipótesis nominal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el sensor se comporta como especifica su hoja de datos: </w:t>
      </w:r>
      <w:r>
        <w:rPr/>
      </w:r>
      <m:oMath xmlns:m="http://schemas.openxmlformats.org/officeDocument/2006/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con </w:t>
      </w:r>
      <w:r>
        <w:rPr/>
      </w:r>
      <m:oMath xmlns:m="http://schemas.openxmlformats.org/officeDocument/2006/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oMath>
      <w:r>
        <w:rPr/>
        <w:t xml:space="preserve">. Una degradación viola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de forma no estacionaria (sesgo que aparece o crece, varianza creciente, deriva, congelamiento, valores atípicos, pérdida de datos, etc.). El estimador no conoce el instante, el tipo ni la magnitud de la degradación; debe inferirla a partir de los datos y ajustar la contribución de cada sensor.</w:t>
      </w:r>
      <w:bookmarkEnd w:id="27"/>
    </w:p>
    <w:p>
      <w:pPr>
        <w:pStyle w:val="Heading2"/>
        <w:rPr/>
      </w:pPr>
      <w:bookmarkStart w:id="28" w:name="__RefHeading___Toc11014_1564873447"/>
      <w:bookmarkStart w:id="29" w:name="la-innovación-como-evidencia"/>
      <w:bookmarkEnd w:id="28"/>
      <w:r>
        <w:rPr/>
        <w:t>4.2 La innovación como evidencia</w:t>
      </w:r>
    </w:p>
    <w:p>
      <w:pPr>
        <w:pStyle w:val="FirstParagraph"/>
        <w:rPr/>
      </w:pPr>
      <w:r>
        <w:rPr/>
        <w:t xml:space="preserve">En un filtro de Kalman consistente la innovación </w:t>
      </w:r>
      <w:r>
        <w:rPr/>
      </w:r>
      <m:oMath xmlns:m="http://schemas.openxmlformats.org/officeDocument/2006/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 xml:space="preserve"> es blanca, de media cero y covarianza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Por lo tanto su versión estandarizada </w:t>
      </w:r>
      <w:r>
        <w:rPr/>
      </w:r>
      <m:oMath xmlns:m="http://schemas.openxmlformats.org/officeDocument/2006/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oMath>
      <w:r>
        <w:rPr/>
        <w:t xml:space="preserve">) satisface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m</m:t>
                  </m:r>
                </m:e>
                <m:sub>
                  <m:r>
                    <w:rPr>
                      <w:rFonts w:ascii="Cambria Math" w:hAnsi="Cambria Math"/>
                    </w:rPr>
                    <m:t xml:space="preserve">i</m:t>
                  </m:r>
                </m:sub>
              </m:sSub>
            </m:sub>
          </m:sSub>
          <m:r>
            <w:rPr>
              <w:rFonts w:ascii="Cambria Math" w:hAnsi="Cambria Math"/>
            </w:rPr>
            <m:t xml:space="preserve">.</m:t>
          </m:r>
        </m:oMath>
      </m:oMathPara>
    </w:p>
    <w:p>
      <w:pPr>
        <w:pStyle w:val="FirstParagraph"/>
        <w:rPr/>
      </w:pPr>
      <w:r>
        <w:rPr/>
        <w:t xml:space="preserve">Un sesgo desplaza el </w:t>
      </w:r>
      <w:r>
        <w:rPr>
          <w:b/>
          <w:bCs/>
        </w:rPr>
        <w:t>primer momento</w:t>
      </w:r>
      <w:r>
        <w:rPr/>
        <w:t xml:space="preserve">; un aumento de varianza incrementa el </w:t>
      </w:r>
      <w:r>
        <w:rPr>
          <w:b/>
          <w:bCs/>
        </w:rPr>
        <w:t>segundo momento</w:t>
      </w:r>
      <w:r>
        <w:rPr/>
        <w:t xml:space="preserve"> sin alterar la media; un sesgo incrementa también el segundo momento, pero no la varianza central. SensorTrust Fusion explota esta diferencia para estimar la confianza de cada sensor (capítulos 9 a 12).</w:t>
      </w:r>
      <w:bookmarkEnd w:id="29"/>
    </w:p>
    <w:p>
      <w:pPr>
        <w:pStyle w:val="Heading2"/>
        <w:rPr/>
      </w:pPr>
      <w:bookmarkStart w:id="30" w:name="__RefHeading___Toc11016_1564873447"/>
      <w:bookmarkStart w:id="31" w:name="X19a18d7b388aa1368f5826f00e7c292d64f7570"/>
      <w:bookmarkEnd w:id="30"/>
      <w:r>
        <w:rPr/>
        <w:t>4.3 Modularidad de la formulación de confianza</w:t>
      </w:r>
    </w:p>
    <w:p>
      <w:pPr>
        <w:pStyle w:val="FirstParagraph"/>
        <w:rPr/>
      </w:pPr>
      <w:r>
        <w:rPr/>
        <w:t xml:space="preserve">La formulación del estimador </w:t>
      </w:r>
      <w:r>
        <w:rPr>
          <w:rStyle w:val="VerbatimChar"/>
        </w:rPr>
        <w:t>FirstTwoMomentsTrustEstimator</w:t>
      </w:r>
      <w:r>
        <w:rPr/>
        <w:t xml:space="preserve"> se describe completa en el capítulo 12. El estimador está aislado en </w:t>
      </w:r>
      <w:r>
        <w:rPr>
          <w:rStyle w:val="VerbatimChar"/>
        </w:rPr>
        <w:t>src/sensortrust/trust/estimators.py</w:t>
      </w:r>
      <w:r>
        <w:rPr/>
        <w:t xml:space="preserve"> y la función </w:t>
      </w:r>
      <w:r>
        <w:rPr>
          <w:rStyle w:val="VerbatimChar"/>
        </w:rPr>
        <w:t>raw_trust</w:t>
      </w:r>
      <w:r>
        <w:rPr/>
        <w:t>, que transforma los excesos de los momentos en confianza, puede sustituirse por formulaciones alternativas (heredando de la clase) sin modificar filtros, modelos, simulación ni interfaz. Esto permite usar la plataforma para comparar distintas funciones de confianza sobre los mismos escenarios.</w:t>
      </w:r>
      <w:bookmarkEnd w:id="25"/>
      <w:bookmarkEnd w:id="31"/>
    </w:p>
    <w:p>
      <w:pPr>
        <w:pStyle w:val="Heading1"/>
        <w:rPr/>
      </w:pPr>
      <w:bookmarkStart w:id="32" w:name="__RefHeading___Toc11018_1564873447"/>
      <w:bookmarkStart w:id="33" w:name="modelos-dinámicos"/>
      <w:bookmarkEnd w:id="32"/>
      <w:r>
        <w:rPr/>
        <w:t>5. Modelos dinámicos</w:t>
      </w:r>
    </w:p>
    <w:p>
      <w:pPr>
        <w:pStyle w:val="Heading2"/>
        <w:rPr/>
      </w:pPr>
      <w:bookmarkStart w:id="34" w:name="__RefHeading___Toc11020_1564873447"/>
      <w:bookmarkStart w:id="35" w:name="modelo-general"/>
      <w:bookmarkEnd w:id="34"/>
      <w:r>
        <w:rPr/>
        <w:t>5.1 Modelo general</w:t>
      </w:r>
    </w:p>
    <w:p>
      <w:pPr>
        <w:pStyle w:val="FirstParagraph"/>
        <w:rPr/>
      </w:pPr>
      <w:r>
        <w:rPr/>
        <w:t>El sistema verdadero evoluciona como</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oMath>
      </m:oMathPara>
    </w:p>
    <w:p>
      <w:pPr>
        <w:pStyle w:val="FirstParagraph"/>
        <w:rPr/>
      </w:pPr>
      <w:r>
        <w:rPr/>
        <w:t xml:space="preserve">y, en el caso lineal, </w:t>
      </w:r>
      <w:r>
        <w:rPr/>
      </w:r>
      <m:oMath xmlns:m="http://schemas.openxmlformats.org/officeDocument/2006/math">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A</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sub>
        </m:sSub>
      </m:oMath>
      <w:r>
        <w:rPr/>
        <w:t xml:space="preserve">. El periodo de muestreo es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r>
              <w:rPr>
                <w:rFonts w:ascii="Cambria Math" w:hAnsi="Cambria Math"/>
              </w:rPr>
              <m:t xml:space="preserve">1</m:t>
            </m:r>
          </m:num>
          <m:den>
            <m:sSub>
              <m:e>
                <m:r>
                  <w:rPr>
                    <w:rFonts w:ascii="Cambria Math" w:hAnsi="Cambria Math"/>
                  </w:rPr>
                  <m:t xml:space="preserve">f</m:t>
                </m:r>
              </m:e>
              <m:sub>
                <m:r>
                  <w:rPr>
                    <w:rFonts w:ascii="Cambria Math" w:hAnsi="Cambria Math"/>
                  </w:rPr>
                  <m:t xml:space="preserve">s</m:t>
                </m:r>
              </m:sub>
            </m:sSub>
          </m:den>
        </m:f>
      </m:oMath>
      <w:r>
        <w:rPr/>
        <w:t xml:space="preserve"> y la rejilla temporal es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k</m:t>
        </m:r>
        <m:sSub>
          <m:e>
            <m:r>
              <w:rPr>
                <w:rFonts w:ascii="Cambria Math" w:hAnsi="Cambria Math"/>
              </w:rPr>
              <m:t xml:space="preserve">T</m:t>
            </m:r>
          </m:e>
          <m:sub>
            <m:r>
              <w:rPr>
                <w:rFonts w:ascii="Cambria Math" w:hAnsi="Cambria Math"/>
              </w:rPr>
              <m:t xml:space="preserve">s</m:t>
            </m:r>
          </m:sub>
        </m:sSub>
      </m:oMath>
      <w:r>
        <w:rPr/>
        <w:t xml:space="preserv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Los modelos implementan la interfaz </w:t>
      </w:r>
      <w:r>
        <w:rPr>
          <w:rStyle w:val="VerbatimChar"/>
        </w:rPr>
        <w:t>DynamicModel</w:t>
      </w:r>
      <w:r>
        <w:rPr/>
        <w:t xml:space="preserve"> (</w:t>
      </w:r>
      <w:r>
        <w:rPr>
          <w:rStyle w:val="VerbatimChar"/>
        </w:rPr>
        <w:t>models/base.py</w:t>
      </w:r>
      <w:r>
        <w:rPr/>
        <w:t xml:space="preserve">) con </w:t>
      </w:r>
      <w:r>
        <w:rPr/>
      </w:r>
      <m:oMath xmlns:m="http://schemas.openxmlformats.org/officeDocument/2006/math">
        <m:r>
          <w:rPr>
            <w:rFonts w:ascii="Cambria Math" w:hAnsi="Cambria Math"/>
          </w:rPr>
          <m:t xml:space="preserve">f</m:t>
        </m:r>
      </m:oMath>
      <w:r>
        <w:rPr/>
        <w:t xml:space="preserve">, su jacobiano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f</m:t>
            </m:r>
          </m:num>
          <m:den>
            <m:r>
              <w:rPr>
                <w:rFonts w:ascii="Cambria Math" w:hAnsi="Cambria Math"/>
              </w:rPr>
              <m:t xml:space="preserve">∂</m:t>
            </m:r>
          </m:den>
        </m:f>
        <m:r>
          <w:rPr>
            <w:rFonts w:ascii="Cambria Math" w:hAnsi="Cambria Math"/>
          </w:rPr>
          <m:t xml:space="preserve">x</m:t>
        </m:r>
      </m:oMath>
      <w:r>
        <w:rPr/>
        <w:t xml:space="preserve"> (analítico en modelos lineales, diferencias centrales en los no lineales), </w:t>
      </w:r>
      <w:r>
        <w:rPr/>
      </w:r>
      <m:oMath xmlns:m="http://schemas.openxmlformats.org/officeDocument/2006/math">
        <m:r>
          <w:rPr>
            <w:rFonts w:ascii="Cambria Math" w:hAnsi="Cambria Math"/>
          </w:rPr>
          <m:t xml:space="preserve">Q</m:t>
        </m:r>
      </m:oMath>
      <w:r>
        <w:rPr/>
        <w:t xml:space="preserve">, las entradas deterministas </w:t>
      </w:r>
      <w:r>
        <w:rPr/>
      </w:r>
      <m:oMath xmlns:m="http://schemas.openxmlformats.org/officeDocument/2006/math">
        <m:sSub>
          <m:e>
            <m:r>
              <w:rPr>
                <w:rFonts w:ascii="Cambria Math" w:hAnsi="Cambria Math"/>
              </w:rPr>
              <m:t xml:space="preserve">u</m:t>
            </m:r>
          </m:e>
          <m:sub>
            <m:r>
              <w:rPr>
                <w:rFonts w:ascii="Cambria Math" w:hAnsi="Cambria Math"/>
              </w:rPr>
              <m:t xml:space="preserve">k</m:t>
            </m:r>
          </m:sub>
        </m:sSub>
      </m:oMath>
      <w:r>
        <w:rPr/>
        <w:t>, los nombres y unidades de los estados y funciones de medición con nombre.</w:t>
      </w:r>
    </w:p>
    <w:p>
      <w:pPr>
        <w:pStyle w:val="BodyText"/>
        <w:rPr/>
      </w:pPr>
      <w:r>
        <w:rPr/>
        <w:t>Los modelos continuos se discretizan exactamente con retenedor de orden cero y el método de Van Loan:</w:t>
      </w:r>
    </w:p>
    <w:p>
      <w:pPr>
        <w:pStyle w:val="BodyText"/>
        <w:jc w:val="center"/>
        <w:rPr/>
      </w:pPr>
      <w:bookmarkStart w:id="36" w:name="modelo-general"/>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sSub>
                <m:e>
                  <m:r>
                    <w:rPr>
                      <w:rFonts w:ascii="Cambria Math" w:hAnsi="Cambria Math"/>
                    </w:rPr>
                    <m:t xml:space="preserve">T</m:t>
                  </m:r>
                </m:e>
                <m:sub>
                  <m:r>
                    <w:rPr>
                      <w:rFonts w:ascii="Cambria Math" w:hAnsi="Cambria Math"/>
                    </w:rPr>
                    <m:t xml:space="preserve">s</m:t>
                  </m:r>
                </m:sub>
              </m:sSub>
            </m:sup>
          </m:sSup>
          <m:r>
            <w:rPr>
              <w:rFonts w:ascii="Cambria Math" w:hAnsi="Cambria Math"/>
            </w:rPr>
            <m:t xml:space="preserve">,</m:t>
          </m:r>
          <m:r>
            <w:rPr>
              <w:rFonts w:ascii="Cambria Math" w:hAnsi="Cambria Math"/>
            </w:rPr>
            <m:t xml:space="preserve">B</m:t>
          </m:r>
          <m:r>
            <w:rPr>
              <w:rFonts w:ascii="Cambria Math" w:hAnsi="Cambria Math"/>
            </w:rPr>
            <m:t xml:space="preserve">=</m:t>
          </m:r>
          <m:nary>
            <m:naryPr>
              <m:chr m:val="∫"/>
            </m:naryPr>
            <m:sub>
              <m: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r>
                    <w:rPr>
                      <w:rFonts w:ascii="Cambria Math" w:hAnsi="Cambria Math"/>
                    </w:rPr>
                    <m:t xml:space="preserve">s</m:t>
                  </m:r>
                </m:sup>
              </m:sSup>
            </m:e>
          </m:nary>
          <m:r>
            <w:rPr>
              <w:rFonts w:ascii="Cambria Math" w:hAnsi="Cambria Math"/>
            </w:rPr>
            <m:t xml:space="preserve">d</m:t>
          </m:r>
          <m:r>
            <w:rPr>
              <w:rFonts w:ascii="Cambria Math" w:hAnsi="Cambria Math"/>
            </w:rPr>
            <m:t xml:space="preserve">s</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r>
            <w:rPr>
              <w:rFonts w:ascii="Cambria Math" w:hAnsi="Cambria Math"/>
            </w:rPr>
            <m:t xml:space="preserve">Q</m:t>
          </m:r>
          <m:r>
            <w:rPr>
              <w:rFonts w:ascii="Cambria Math" w:hAnsi="Cambria Math"/>
            </w:rPr>
            <m:t xml:space="preserve">=</m:t>
          </m:r>
          <m:nary>
            <m:naryPr>
              <m:chr m:val="∫"/>
            </m:naryPr>
            <m:sub>
              <m: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r>
                    <w:rPr>
                      <w:rFonts w:ascii="Cambria Math" w:hAnsi="Cambria Math"/>
                    </w:rPr>
                    <m:t xml:space="preserve">s</m:t>
                  </m:r>
                </m:sup>
              </m:sSup>
            </m:e>
          </m:nary>
          <m:sSub>
            <m:e>
              <m:r>
                <w:rPr>
                  <w:rFonts w:ascii="Cambria Math" w:hAnsi="Cambria Math"/>
                </w:rPr>
                <m:t xml:space="preserve">Q</m:t>
              </m:r>
            </m:e>
            <m:sub>
              <m:r>
                <w:rPr>
                  <w:rFonts w:ascii="Cambria Math" w:hAnsi="Cambria Math"/>
                </w:rPr>
                <m:t xml:space="preserve">c</m:t>
              </m:r>
            </m:sub>
          </m:sSub>
          <m:sSup>
            <m:e>
              <m:r>
                <w:rPr>
                  <w:rFonts w:ascii="Cambria Math" w:hAnsi="Cambria Math"/>
                </w:rPr>
                <m:t xml:space="preserve">e</m:t>
              </m:r>
            </m:e>
            <m:sup>
              <m:sSubSup>
                <m:e>
                  <m:r>
                    <w:rPr>
                      <w:rFonts w:ascii="Cambria Math" w:hAnsi="Cambria Math"/>
                    </w:rPr>
                    <m:t xml:space="preserve">A</m:t>
                  </m:r>
                </m:e>
                <m:sub>
                  <m:r>
                    <w:rPr>
                      <w:rFonts w:ascii="Cambria Math" w:hAnsi="Cambria Math"/>
                    </w:rPr>
                    <m:t xml:space="preserve">c</m:t>
                  </m:r>
                </m:sub>
                <m:sup>
                  <m:r>
                    <w:rPr>
                      <w:rFonts w:ascii="Cambria Math" w:hAnsi="Cambria Math"/>
                    </w:rPr>
                    <m:t xml:space="preserve">T</m:t>
                  </m:r>
                </m:sup>
              </m:sSubSup>
              <m:r>
                <w:rPr>
                  <w:rFonts w:ascii="Cambria Math" w:hAnsi="Cambria Math"/>
                </w:rPr>
                <m:t xml:space="preserve">s</m:t>
              </m:r>
            </m:sup>
          </m:sSup>
          <m:r>
            <w:rPr>
              <w:rFonts w:ascii="Cambria Math" w:hAnsi="Cambria Math"/>
            </w:rPr>
            <m:t xml:space="preserve">d</m:t>
          </m:r>
          <m:r>
            <w:rPr>
              <w:rFonts w:ascii="Cambria Math" w:hAnsi="Cambria Math"/>
            </w:rPr>
            <m:t xml:space="preserve">s</m:t>
          </m:r>
          <m:r>
            <w:rPr>
              <w:rFonts w:ascii="Cambria Math" w:hAnsi="Cambria Math"/>
            </w:rPr>
            <m:t xml:space="preserve">.</m:t>
          </m:r>
        </m:oMath>
      </m:oMathPara>
      <w:bookmarkEnd w:id="36"/>
    </w:p>
    <w:p>
      <w:pPr>
        <w:pStyle w:val="Heading2"/>
        <w:rPr/>
      </w:pPr>
      <w:bookmarkStart w:id="37" w:name="__RefHeading___Toc11022_1564873447"/>
      <w:bookmarkStart w:id="38" w:name="modelos-predefinidos"/>
      <w:bookmarkEnd w:id="37"/>
      <w:r>
        <w:rPr/>
        <w:t>5.2 Modelos predefinidos</w:t>
      </w:r>
    </w:p>
    <w:p>
      <w:pPr>
        <w:pStyle w:val="FirstParagraph"/>
        <w:rPr/>
      </w:pPr>
      <w:r>
        <w:rPr>
          <w:b/>
          <w:bCs/>
        </w:rPr>
        <w:t>Modelo 1 – Señal escalar variable</w:t>
      </w:r>
      <w:r>
        <w:rPr/>
        <w:t xml:space="preserve"> (</w:t>
      </w:r>
      <w:r>
        <w:rPr>
          <w:rStyle w:val="VerbatimChar"/>
        </w:rPr>
        <w:t>scalar_signal</w:t>
      </w:r>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t xml:space="preserve">, con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A</m:t>
        </m:r>
        <m:r>
          <w:rPr>
            <w:rFonts w:ascii="Cambria Math" w:hAnsi="Cambria Math"/>
          </w:rPr>
          <m:t xml:space="preserve">cos</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 xml:space="preserve"> y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q</m:t>
        </m:r>
        <m:sSub>
          <m:e>
            <m:r>
              <w:rPr>
                <w:rFonts w:ascii="Cambria Math" w:hAnsi="Cambria Math"/>
              </w:rPr>
              <m:t xml:space="preserve">T</m:t>
            </m:r>
          </m:e>
          <m:sub>
            <m:r>
              <w:rPr>
                <w:rFonts w:ascii="Cambria Math" w:hAnsi="Cambria Math"/>
              </w:rPr>
              <m:t xml:space="preserve">s</m:t>
            </m:r>
          </m:sub>
        </m:sSub>
      </m:oMath>
      <w:r>
        <w:rPr/>
        <w:t xml:space="preserve">; sin ruido de proceso,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w:t>
      </w:r>
    </w:p>
    <w:p>
      <w:pPr>
        <w:pStyle w:val="BodyText"/>
        <w:rPr/>
      </w:pPr>
      <w:r>
        <w:rPr>
          <w:b/>
          <w:bCs/>
        </w:rPr>
        <w:t>Modelo 2 – Velocidad constante</w:t>
      </w:r>
      <w:r>
        <w:rPr/>
        <w:t xml:space="preserve"> (</w:t>
      </w:r>
      <w:r>
        <w:rPr>
          <w:rStyle w:val="VerbatimChar"/>
        </w:rPr>
        <w:t>constant_velocity</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mr>
                <m:mr>
                  <m:e>
                    <m:r>
                      <w:rPr>
                        <w:rFonts w:ascii="Cambria Math" w:hAnsi="Cambria Math"/>
                      </w:rPr>
                      <m:t xml:space="preserve">0</m:t>
                    </m:r>
                  </m:e>
                  <m:e>
                    <m:r>
                      <w:rPr>
                        <w:rFonts w:ascii="Cambria Math" w:hAnsi="Cambria Math"/>
                      </w:rPr>
                      <m:t xml:space="preserve">1</m:t>
                    </m:r>
                  </m:e>
                </m:mr>
              </m:m>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q</m:t>
          </m:r>
          <m:d>
            <m:dPr>
              <m:begChr m:val="["/>
              <m:endChr m:val="]"/>
            </m:dPr>
            <m:e>
              <m:m>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3</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e>
                    <m:sSub>
                      <m:e>
                        <m:r>
                          <w:rPr>
                            <w:rFonts w:ascii="Cambria Math" w:hAnsi="Cambria Math"/>
                          </w:rPr>
                          <m:t xml:space="preserve">T</m:t>
                        </m:r>
                      </m:e>
                      <m:sub>
                        <m:r>
                          <w:rPr>
                            <w:rFonts w:ascii="Cambria Math" w:hAnsi="Cambria Math"/>
                          </w:rPr>
                          <m:t xml:space="preserve">s</m:t>
                        </m:r>
                      </m:sub>
                    </m:sSub>
                  </m:e>
                </m:mr>
              </m:m>
            </m:e>
          </m:d>
          <m:r>
            <w:rPr>
              <w:rFonts w:ascii="Cambria Math" w:hAnsi="Cambria Math"/>
            </w:rPr>
            <m:t xml:space="preserve">.</m:t>
          </m:r>
        </m:oMath>
      </m:oMathPara>
    </w:p>
    <w:p>
      <w:pPr>
        <w:pStyle w:val="FirstParagraph"/>
        <w:rPr/>
      </w:pPr>
      <w:r>
        <w:rPr>
          <w:b/>
          <w:bCs/>
        </w:rPr>
        <w:t>Modelo 3 – Aceleración constante</w:t>
      </w:r>
      <w:r>
        <w:rPr/>
        <w:t xml:space="preserve"> (</w:t>
      </w:r>
      <w:r>
        <w:rPr>
          <w:rStyle w:val="VerbatimChar"/>
        </w:rPr>
        <w:t>constant_acceleration</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r>
                      <w:rPr>
                        <w:rFonts w:ascii="Cambria Math" w:hAnsi="Cambria Math"/>
                      </w:rPr>
                      <m:t xml:space="preserve">0</m:t>
                    </m:r>
                  </m:e>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mr>
                <m:mr>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q</m:t>
          </m:r>
          <m:d>
            <m:dPr>
              <m:begChr m:val="["/>
              <m:endChr m:val="]"/>
            </m:dPr>
            <m:e>
              <m:m>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5</m:t>
                            </m:r>
                          </m:sup>
                        </m:sSubSup>
                      </m:num>
                      <m:den>
                        <m:r>
                          <w:rPr>
                            <w:rFonts w:ascii="Cambria Math" w:hAnsi="Cambria Math"/>
                          </w:rPr>
                          <m:t xml:space="preserve">20</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4</m:t>
                            </m:r>
                          </m:sup>
                        </m:sSubSup>
                      </m:num>
                      <m:den>
                        <m:r>
                          <w:rPr>
                            <w:rFonts w:ascii="Cambria Math" w:hAnsi="Cambria Math"/>
                          </w:rPr>
                          <m:t xml:space="preserve">8</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6</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4</m:t>
                            </m:r>
                          </m:sup>
                        </m:sSubSup>
                      </m:num>
                      <m:den>
                        <m:r>
                          <w:rPr>
                            <w:rFonts w:ascii="Cambria Math" w:hAnsi="Cambria Math"/>
                          </w:rPr>
                          <m:t xml:space="preserve">8</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3</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6</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e>
                    <m:sSub>
                      <m:e>
                        <m:r>
                          <w:rPr>
                            <w:rFonts w:ascii="Cambria Math" w:hAnsi="Cambria Math"/>
                          </w:rPr>
                          <m:t xml:space="preserve">T</m:t>
                        </m:r>
                      </m:e>
                      <m:sub>
                        <m:r>
                          <w:rPr>
                            <w:rFonts w:ascii="Cambria Math" w:hAnsi="Cambria Math"/>
                          </w:rPr>
                          <m:t xml:space="preserve">s</m:t>
                        </m:r>
                      </m:sub>
                    </m:sSub>
                  </m:e>
                </m:mr>
              </m:m>
            </m:e>
          </m:d>
          <m:r>
            <w:rPr>
              <w:rFonts w:ascii="Cambria Math" w:hAnsi="Cambria Math"/>
            </w:rPr>
            <m:t xml:space="preserve">.</m:t>
          </m:r>
        </m:oMath>
      </m:oMathPara>
    </w:p>
    <w:p>
      <w:pPr>
        <w:pStyle w:val="FirstParagraph"/>
        <w:rPr/>
      </w:pPr>
      <w:r>
        <w:rPr>
          <w:b/>
          <w:bCs/>
        </w:rPr>
        <w:t>Modelo 4 – Oscilador masa–resorte–amortiguador</w:t>
      </w:r>
      <w:r>
        <w:rPr/>
        <w:t xml:space="preserve"> (</w:t>
      </w:r>
      <w:r>
        <w:rPr>
          <w:rStyle w:val="VerbatimChar"/>
        </w:rPr>
        <w:t>mass_spring_damper</w:t>
      </w:r>
      <w:r>
        <w:rPr/>
        <w:t xml:space="preserve">): </w:t>
      </w:r>
      <w:r>
        <w:rPr/>
      </w:r>
      <m:oMath xmlns:m="http://schemas.openxmlformats.org/officeDocument/2006/math">
        <m:r>
          <w:rPr>
            <w:rFonts w:ascii="Cambria Math" w:hAnsi="Cambria Math"/>
          </w:rPr>
          <m:t xml:space="preserve">m</m:t>
        </m:r>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c</m:t>
        </m:r>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k</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t</m:t>
        </m:r>
        <m:r>
          <w:rPr>
            <w:rFonts w:ascii="Cambria Math" w:hAnsi="Cambria Math"/>
          </w:rPr>
          <m:t xml:space="preserve">)</m:t>
        </m:r>
      </m:oMath>
      <w:r>
        <w:rPr/>
        <w:t>, con</w:t>
      </w:r>
    </w:p>
    <w:p>
      <w:pPr>
        <w:pStyle w:val="BodyText"/>
        <w:jc w:val="cente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1</m:t>
                    </m:r>
                  </m:e>
                </m:mr>
                <m:mr>
                  <m:e>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m</m:t>
                        </m:r>
                      </m:den>
                    </m:f>
                  </m:e>
                  <m:e>
                    <m:r>
                      <w:rPr>
                        <w:rFonts w:ascii="Cambria Math" w:hAnsi="Cambria Math"/>
                      </w:rPr>
                      <m:t xml:space="preserve">−</m:t>
                    </m:r>
                    <m:f>
                      <m:fPr>
                        <m:type m:val="lin"/>
                      </m:fPr>
                      <m:num>
                        <m:r>
                          <w:rPr>
                            <w:rFonts w:ascii="Cambria Math" w:hAnsi="Cambria Math"/>
                          </w:rPr>
                          <m:t xml:space="preserve">c</m:t>
                        </m:r>
                      </m:num>
                      <m:den>
                        <m:r>
                          <w:rPr>
                            <w:rFonts w:ascii="Cambria Math" w:hAnsi="Cambria Math"/>
                          </w:rPr>
                          <m:t xml:space="preserve">m</m:t>
                        </m:r>
                      </m:den>
                    </m:f>
                  </m:e>
                </m:mr>
              </m:m>
            </m:e>
          </m:d>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mr>
                <m:mr>
                  <m:e>
                    <m:f>
                      <m:fPr>
                        <m:type m:val="lin"/>
                      </m:fPr>
                      <m:num>
                        <m:r>
                          <w:rPr>
                            <w:rFonts w:ascii="Cambria Math" w:hAnsi="Cambria Math"/>
                          </w:rPr>
                          <m:t xml:space="preserve">1</m:t>
                        </m:r>
                      </m:num>
                      <m:den>
                        <m:r>
                          <w:rPr>
                            <w:rFonts w:ascii="Cambria Math" w:hAnsi="Cambria Math"/>
                          </w:rPr>
                          <m:t xml:space="preserve">m</m:t>
                        </m:r>
                      </m:den>
                    </m:f>
                  </m:e>
                </m:mr>
              </m:m>
            </m:e>
          </m:d>
          <m:r>
            <w:rPr>
              <w:rFonts w:ascii="Cambria Math" w:hAnsi="Cambria Math"/>
            </w:rPr>
            <m:t xml:space="preserve">,</m:t>
          </m:r>
          <m:sSub>
            <m:e>
              <m:r>
                <w:rPr>
                  <w:rFonts w:ascii="Cambria Math" w:hAnsi="Cambria Math"/>
                </w:rPr>
                <m:t xml:space="preserve">Q</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f>
                      <m:fPr>
                        <m:type m:val="lin"/>
                      </m:fPr>
                      <m:num>
                        <m:r>
                          <w:rPr>
                            <w:rFonts w:ascii="Cambria Math" w:hAnsi="Cambria Math"/>
                          </w:rPr>
                          <m:t xml:space="preserve">q</m:t>
                        </m:r>
                      </m:num>
                      <m:den>
                        <m:sSup>
                          <m:e>
                            <m:r>
                              <w:rPr>
                                <w:rFonts w:ascii="Cambria Math" w:hAnsi="Cambria Math"/>
                              </w:rPr>
                              <m:t xml:space="preserve">m</m:t>
                            </m:r>
                          </m:e>
                          <m:sup>
                            <m:r>
                              <w:rPr>
                                <w:rFonts w:ascii="Cambria Math" w:hAnsi="Cambria Math"/>
                              </w:rPr>
                              <m:t xml:space="preserve">2</m:t>
                            </m:r>
                          </m:sup>
                        </m:sSup>
                      </m:den>
                    </m:f>
                  </m:e>
                </m:mr>
              </m:m>
            </m:e>
          </m:d>
          <m:r>
            <w:rPr>
              <w:rFonts w:ascii="Cambria Math" w:hAnsi="Cambria Math"/>
            </w:rPr>
            <m:t xml:space="preserve">,</m:t>
          </m:r>
        </m:oMath>
      </m:oMathPara>
    </w:p>
    <w:p>
      <w:pPr>
        <w:pStyle w:val="FirstParagraph"/>
        <w:rPr/>
      </w:pPr>
      <w:r>
        <w:rPr/>
        <w:t xml:space="preserve">discretizado con Van Loan y excitado por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w:t>
      </w:r>
    </w:p>
    <w:p>
      <w:pPr>
        <w:pStyle w:val="BodyText"/>
        <w:rPr/>
      </w:pPr>
      <w:r>
        <w:rPr>
          <w:b/>
          <w:bCs/>
        </w:rPr>
        <w:t>Modelo 5 – Sistema térmico simplificado</w:t>
      </w:r>
      <w:r>
        <w:rPr/>
        <w:t xml:space="preserve"> (</w:t>
      </w:r>
      <w:r>
        <w:rPr>
          <w:rStyle w:val="VerbatimChar"/>
        </w:rPr>
        <w:t>thermal</w:t>
      </w:r>
      <w:r>
        <w:rPr/>
        <w:t xml:space="preserve">): nodo calefactor </w:t>
      </w:r>
      <w:r>
        <w:rPr/>
      </w:r>
      <m:oMath xmlns:m="http://schemas.openxmlformats.org/officeDocument/2006/math">
        <m:sSub>
          <m:e>
            <m:r>
              <w:rPr>
                <w:rFonts w:ascii="Cambria Math" w:hAnsi="Cambria Math"/>
              </w:rPr>
              <m:t xml:space="preserve">T</m:t>
            </m:r>
          </m:e>
          <m:sub>
            <m:r>
              <w:rPr>
                <w:rFonts w:ascii="Cambria Math" w:hAnsi="Cambria Math"/>
              </w:rPr>
              <m:t xml:space="preserve">h</m:t>
            </m:r>
          </m:sub>
        </m:sSub>
      </m:oMath>
      <w:r>
        <w:rPr/>
        <w:t xml:space="preserve"> y nodo objeto </w:t>
      </w:r>
      <w:r>
        <w:rPr/>
      </w:r>
      <m:oMath xmlns:m="http://schemas.openxmlformats.org/officeDocument/2006/math">
        <m:sSub>
          <m:e>
            <m:r>
              <w:rPr>
                <w:rFonts w:ascii="Cambria Math" w:hAnsi="Cambria Math"/>
              </w:rPr>
              <m:t xml:space="preserve">T</m:t>
            </m:r>
          </m:e>
          <m:sub>
            <m:r>
              <w:rPr>
                <w:rFonts w:ascii="Cambria Math" w:hAnsi="Cambria Math"/>
              </w:rPr>
              <m:t xml:space="preserve">o</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h</m:t>
              </m:r>
            </m:sub>
          </m:sSub>
          <m:sSub>
            <m:e>
              <m:acc>
                <m:accPr>
                  <m:chr m:val="˙"/>
                </m:accPr>
                <m:e>
                  <m:r>
                    <w:rPr>
                      <w:rFonts w:ascii="Cambria Math" w:hAnsi="Cambria Math"/>
                    </w:rPr>
                    <m:t xml:space="preserve">T</m:t>
                  </m:r>
                </m:e>
              </m:acc>
            </m:e>
            <m:sub>
              <m:r>
                <w:rPr>
                  <w:rFonts w:ascii="Cambria Math" w:hAnsi="Cambria Math"/>
                </w:rPr>
                <m:t xml:space="preserve">h</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sSub>
                <m:e>
                  <m:r>
                    <w:rPr>
                      <w:rFonts w:ascii="Cambria Math" w:hAnsi="Cambria Math"/>
                    </w:rPr>
                    <m:t xml:space="preserve">T</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m:t>
                  </m:r>
                </m:sub>
              </m:sSub>
            </m:num>
            <m:den>
              <m:sSub>
                <m:e>
                  <m:r>
                    <w:rPr>
                      <w:rFonts w:ascii="Cambria Math" w:hAnsi="Cambria Math"/>
                    </w:rPr>
                    <m:t xml:space="preserve">R</m:t>
                  </m:r>
                </m:e>
                <m:sub>
                  <m:r>
                    <w:rPr>
                      <w:rFonts w:ascii="Cambria Math" w:hAnsi="Cambria Math"/>
                    </w:rPr>
                    <m:t xml:space="preserve">h</m:t>
                  </m:r>
                  <m:r>
                    <w:rPr>
                      <w:rFonts w:ascii="Cambria Math" w:hAnsi="Cambria Math"/>
                    </w:rPr>
                    <m:t xml:space="preserve">o</m:t>
                  </m:r>
                </m:sub>
              </m:sSub>
            </m:den>
          </m:f>
          <m:r>
            <w:rPr>
              <w:rFonts w:ascii="Cambria Math" w:hAnsi="Cambria Math"/>
            </w:rPr>
            <m:t xml:space="preserve">,</m:t>
          </m:r>
          <m:sSub>
            <m:e>
              <m:r>
                <w:rPr>
                  <w:rFonts w:ascii="Cambria Math" w:hAnsi="Cambria Math"/>
                </w:rPr>
                <m:t xml:space="preserve">C</m:t>
              </m:r>
            </m:e>
            <m:sub>
              <m:r>
                <w:rPr>
                  <w:rFonts w:ascii="Cambria Math" w:hAnsi="Cambria Math"/>
                </w:rPr>
                <m:t xml:space="preserve">o</m:t>
              </m:r>
            </m:sub>
          </m:sSub>
          <m:sSub>
            <m:e>
              <m:acc>
                <m:accPr>
                  <m:chr m:val="˙"/>
                </m:accPr>
                <m:e>
                  <m:r>
                    <w:rPr>
                      <w:rFonts w:ascii="Cambria Math" w:hAnsi="Cambria Math"/>
                    </w:rPr>
                    <m:t xml:space="preserve">T</m:t>
                  </m:r>
                </m:e>
              </m:acc>
            </m:e>
            <m:sub>
              <m:r>
                <w:rPr>
                  <w:rFonts w:ascii="Cambria Math" w:hAnsi="Cambria Math"/>
                </w:rPr>
                <m:t xml:space="preserve">o</m:t>
              </m:r>
            </m:sub>
          </m:sSub>
          <m:r>
            <w:rPr>
              <w:rFonts w:ascii="Cambria Math" w:hAnsi="Cambria Math"/>
            </w:rPr>
            <m:t xml:space="preserve">=</m:t>
          </m:r>
          <m:f>
            <m:num>
              <m:sSub>
                <m:e>
                  <m:r>
                    <w:rPr>
                      <w:rFonts w:ascii="Cambria Math" w:hAnsi="Cambria Math"/>
                    </w:rPr>
                    <m:t xml:space="preserve">T</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m:t>
                  </m:r>
                </m:sub>
              </m:sSub>
            </m:num>
            <m:den>
              <m:sSub>
                <m:e>
                  <m:r>
                    <w:rPr>
                      <w:rFonts w:ascii="Cambria Math" w:hAnsi="Cambria Math"/>
                    </w:rPr>
                    <m:t xml:space="preserve">R</m:t>
                  </m:r>
                </m:e>
                <m:sub>
                  <m:r>
                    <w:rPr>
                      <w:rFonts w:ascii="Cambria Math" w:hAnsi="Cambria Math"/>
                    </w:rPr>
                    <m:t xml:space="preserve">h</m:t>
                  </m:r>
                  <m:r>
                    <w:rPr>
                      <w:rFonts w:ascii="Cambria Math" w:hAnsi="Cambria Math"/>
                    </w:rPr>
                    <m:t xml:space="preserve">o</m:t>
                  </m:r>
                </m:sub>
              </m:sSub>
            </m:den>
          </m:f>
          <m:r>
            <w:rPr>
              <w:rFonts w:ascii="Cambria Math" w:hAnsi="Cambria Math"/>
            </w:rPr>
            <m:t xml:space="preserve">−</m:t>
          </m:r>
          <m:f>
            <m:num>
              <m:sSub>
                <m:e>
                  <m:r>
                    <w:rPr>
                      <w:rFonts w:ascii="Cambria Math" w:hAnsi="Cambria Math"/>
                    </w:rPr>
                    <m:t xml:space="preserve">T</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m</m:t>
                  </m:r>
                  <m:r>
                    <w:rPr>
                      <w:rFonts w:ascii="Cambria Math" w:hAnsi="Cambria Math"/>
                    </w:rPr>
                    <m:t xml:space="preserve">b</m:t>
                  </m:r>
                </m:sub>
              </m:sSub>
            </m:num>
            <m:den>
              <m:sSub>
                <m:e>
                  <m:r>
                    <w:rPr>
                      <w:rFonts w:ascii="Cambria Math" w:hAnsi="Cambria Math"/>
                    </w:rPr>
                    <m:t xml:space="preserve">R</m:t>
                  </m:r>
                </m:e>
                <m:sub>
                  <m:r>
                    <w:rPr>
                      <w:rFonts w:ascii="Cambria Math" w:hAnsi="Cambria Math"/>
                    </w:rPr>
                    <m:t xml:space="preserve">o</m:t>
                  </m:r>
                  <m:r>
                    <w:rPr>
                      <w:rFonts w:ascii="Cambria Math" w:hAnsi="Cambria Math"/>
                    </w:rPr>
                    <m:t xml:space="preserve">a</m:t>
                  </m:r>
                </m:sub>
              </m:sSub>
            </m:den>
          </m:f>
          <m:r>
            <w:rPr>
              <w:rFonts w:ascii="Cambria Math" w:hAnsi="Cambria Math"/>
            </w:rPr>
            <m:t xml:space="preserve">,</m:t>
          </m:r>
        </m:oMath>
      </m:oMathPara>
    </w:p>
    <w:p>
      <w:pPr>
        <w:pStyle w:val="FirstParagraph"/>
        <w:rPr/>
      </w:pPr>
      <w:r>
        <w:rPr/>
        <w:t xml:space="preserve">con entradas </w:t>
      </w:r>
      <w:r>
        <w:rPr/>
      </w:r>
      <m:oMath xmlns:m="http://schemas.openxmlformats.org/officeDocument/2006/math">
        <m:r>
          <w:rPr>
            <w:rFonts w:ascii="Cambria Math" w:hAnsi="Cambria Math"/>
          </w:rPr>
          <m:t xml:space="preserve">u</m:t>
        </m:r>
        <m:r>
          <w:rPr>
            <w:rFonts w:ascii="Cambria Math" w:hAnsi="Cambria Math"/>
          </w:rPr>
          <m:t xml:space="preserve">=</m:t>
        </m:r>
      </m:oMath>
      <w:r>
        <w:rPr/>
        <w:t xml:space="preserve"> (potencia en onda cuadrada) y discretización exacta.</w:t>
      </w:r>
    </w:p>
    <w:p>
      <w:pPr>
        <w:pStyle w:val="BodyText"/>
        <w:rPr/>
      </w:pPr>
      <w:r>
        <w:rPr>
          <w:b/>
          <w:bCs/>
        </w:rPr>
        <w:t>Modelo 6 – Péndulo no lineal</w:t>
      </w:r>
      <w:r>
        <w:rPr/>
        <w:t xml:space="preserve"> (</w:t>
      </w:r>
      <w:r>
        <w:rPr>
          <w:rStyle w:val="VerbatimChar"/>
        </w:rPr>
        <w:t>pendulum</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θ</m:t>
              </m:r>
            </m:e>
          </m:acc>
          <m:r>
            <w:rPr>
              <w:rFonts w:ascii="Cambria Math" w:hAnsi="Cambria Math"/>
            </w:rPr>
            <m:t xml:space="preserve">=</m:t>
          </m:r>
          <m:r>
            <w:rPr>
              <w:rFonts w:ascii="Cambria Math" w:hAnsi="Cambria Math"/>
            </w:rPr>
            <m:t xml:space="preserve">ω</m:t>
          </m:r>
          <m:r>
            <w:rPr>
              <w:rFonts w:ascii="Cambria Math" w:hAnsi="Cambria Math"/>
            </w:rPr>
            <m:t xml:space="preserve">,</m:t>
          </m:r>
          <m:acc>
            <m:accPr>
              <m:chr m:val="˙"/>
            </m:accPr>
            <m:e>
              <m:r>
                <w:rPr>
                  <w:rFonts w:ascii="Cambria Math" w:hAnsi="Cambria Math"/>
                </w:rPr>
                <m:t xml:space="preserve">ω</m:t>
              </m:r>
            </m:e>
          </m:acc>
          <m:r>
            <w:rPr>
              <w:rFonts w:ascii="Cambria Math" w:hAnsi="Cambria Math"/>
            </w:rPr>
            <m:t xml:space="preserve">=</m:t>
          </m:r>
          <m:r>
            <w:rPr>
              <w:rFonts w:ascii="Cambria Math" w:hAnsi="Cambria Math"/>
            </w:rPr>
            <m:t xml:space="preserve">−</m:t>
          </m:r>
          <m:f>
            <m:num>
              <m:r>
                <w:rPr>
                  <w:rFonts w:ascii="Cambria Math" w:hAnsi="Cambria Math"/>
                </w:rPr>
                <m:t xml:space="preserve">g</m:t>
              </m:r>
            </m:num>
            <m:den>
              <m:r>
                <w:rPr>
                  <w:rFonts w:ascii="Cambria Math" w:hAnsi="Cambria Math"/>
                </w:rPr>
                <m:t xml:space="preserve">L</m:t>
              </m:r>
            </m:den>
          </m:f>
          <m:r>
            <w:rPr>
              <w:rFonts w:ascii="Cambria Math" w:hAnsi="Cambria Math"/>
            </w:rPr>
            <m:t xml:space="preserve">sin</m:t>
          </m:r>
          <m:r>
            <w:rPr>
              <w:rFonts w:ascii="Cambria Math" w:hAnsi="Cambria Math"/>
            </w:rPr>
            <m:t xml:space="preserve">θ</m:t>
          </m:r>
          <m:r>
            <w:rPr>
              <w:rFonts w:ascii="Cambria Math" w:hAnsi="Cambria Math"/>
            </w:rPr>
            <m:t xml:space="preserve">−</m:t>
          </m:r>
          <m:r>
            <w:rPr>
              <w:rFonts w:ascii="Cambria Math" w:hAnsi="Cambria Math"/>
            </w:rPr>
            <m:t xml:space="preserve">b</m:t>
          </m:r>
          <m:r>
            <w:rPr>
              <w:rFonts w:ascii="Cambria Math" w:hAnsi="Cambria Math"/>
            </w:rPr>
            <m:t xml:space="preserve">ω</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oMath>
      </m:oMathPara>
    </w:p>
    <w:p>
      <w:pPr>
        <w:pStyle w:val="FirstParagraph"/>
        <w:rPr/>
      </w:pPr>
      <w:r>
        <w:rPr/>
        <w:t xml:space="preserve">propagado con un paso de Runge–Kutta de cuarto orden por periodo de muestreo. Publica las funciones de medición </w:t>
      </w:r>
      <w:r>
        <w:rPr>
          <w:rStyle w:val="VerbatimChar"/>
        </w:rPr>
        <w:t>angle</w:t>
      </w:r>
      <w:r>
        <w:rPr/>
        <w:t xml:space="preserve"> (</w:t>
      </w:r>
      <w:r>
        <w:rPr/>
      </w:r>
      <m:oMath xmlns:m="http://schemas.openxmlformats.org/officeDocument/2006/math">
        <m:r>
          <w:rPr>
            <w:rFonts w:ascii="Cambria Math" w:hAnsi="Cambria Math"/>
          </w:rPr>
          <m:t xml:space="preserve">θ</m:t>
        </m:r>
      </m:oMath>
      <w:r>
        <w:rPr/>
        <w:t xml:space="preserve">), </w:t>
      </w:r>
      <w:r>
        <w:rPr>
          <w:rStyle w:val="VerbatimChar"/>
        </w:rPr>
        <w:t>angular_rate</w:t>
      </w:r>
      <w:r>
        <w:rPr/>
        <w:t xml:space="preserve"> (</w:t>
      </w:r>
      <w:r>
        <w:rPr/>
      </w:r>
      <m:oMath xmlns:m="http://schemas.openxmlformats.org/officeDocument/2006/math">
        <m:r>
          <w:rPr>
            <w:rFonts w:ascii="Cambria Math" w:hAnsi="Cambria Math"/>
          </w:rPr>
          <m:t xml:space="preserve">ω</m:t>
        </m:r>
      </m:oMath>
      <w:r>
        <w:rPr/>
        <w:t xml:space="preserve">), </w:t>
      </w:r>
      <w:r>
        <w:rPr>
          <w:rStyle w:val="VerbatimChar"/>
        </w:rPr>
        <w:t>horizontal_position</w:t>
      </w:r>
      <w:r>
        <w:rPr/>
        <w:t xml:space="preserve"> (</w:t>
      </w:r>
      <w:r>
        <w:rPr/>
      </w:r>
      <m:oMath xmlns:m="http://schemas.openxmlformats.org/officeDocument/2006/math">
        <m:r>
          <w:rPr>
            <w:rFonts w:ascii="Cambria Math" w:hAnsi="Cambria Math"/>
          </w:rPr>
          <m:t xml:space="preserve">L</m:t>
        </m:r>
        <m:r>
          <w:rPr>
            <w:rFonts w:ascii="Cambria Math" w:hAnsi="Cambria Math"/>
          </w:rPr>
          <m:t xml:space="preserve">sin</m:t>
        </m:r>
        <m:r>
          <w:rPr>
            <w:rFonts w:ascii="Cambria Math" w:hAnsi="Cambria Math"/>
          </w:rPr>
          <m:t xml:space="preserve">θ</m:t>
        </m:r>
      </m:oMath>
      <w:r>
        <w:rPr/>
        <w:t xml:space="preserve">, no lineal) y </w:t>
      </w:r>
      <w:r>
        <w:rPr>
          <w:rStyle w:val="VerbatimChar"/>
        </w:rPr>
        <w:t>vertical_position</w:t>
      </w:r>
      <w:r>
        <w:rPr/>
        <w:t xml:space="preserve"> (</w:t>
      </w:r>
      <w:r>
        <w:rPr/>
      </w:r>
      <m:oMath xmlns:m="http://schemas.openxmlformats.org/officeDocument/2006/math">
        <m:r>
          <w:rPr>
            <w:rFonts w:ascii="Cambria Math" w:hAnsi="Cambria Math"/>
          </w:rPr>
          <m:t xml:space="preserve">−</m:t>
        </m:r>
        <m:r>
          <w:rPr>
            <w:rFonts w:ascii="Cambria Math" w:hAnsi="Cambria Math"/>
          </w:rPr>
          <m:t xml:space="preserve">L</m:t>
        </m:r>
        <m:r>
          <w:rPr>
            <w:rFonts w:ascii="Cambria Math" w:hAnsi="Cambria Math"/>
          </w:rPr>
          <m:t xml:space="preserve">cos</m:t>
        </m:r>
        <m:r>
          <w:rPr>
            <w:rFonts w:ascii="Cambria Math" w:hAnsi="Cambria Math"/>
          </w:rPr>
          <m:t xml:space="preserve">θ</m:t>
        </m:r>
      </m:oMath>
      <w:r>
        <w:rPr/>
        <w:t>, no lineal), que justifican el uso de EKF y UKF.</w:t>
      </w:r>
    </w:p>
    <w:p>
      <w:pPr>
        <w:pStyle w:val="BodyText"/>
        <w:rPr/>
      </w:pPr>
      <w:r>
        <w:rPr>
          <w:b/>
          <w:bCs/>
        </w:rPr>
        <w:t>Modelo lineal personalizado</w:t>
      </w:r>
      <w:r>
        <w:rPr/>
        <w:t xml:space="preserve"> (</w:t>
      </w:r>
      <w:r>
        <w:rPr>
          <w:rStyle w:val="VerbatimChar"/>
        </w:rPr>
        <w:t>custom_linear</w:t>
      </w:r>
      <w:r>
        <w:rPr/>
        <w:t xml:space="preserve">): el usuario proporciona </w:t>
      </w:r>
      <w:r>
        <w:rPr/>
      </w:r>
      <m:oMath xmlns:m="http://schemas.openxmlformats.org/officeDocument/2006/math">
        <m:r>
          <w:rPr>
            <w:rFonts w:ascii="Cambria Math" w:hAnsi="Cambria Math"/>
          </w:rPr>
          <m:t xml:space="preserve">A</m:t>
        </m:r>
      </m:oMath>
      <w:r>
        <w:rPr/>
        <w:t xml:space="preserve">, </w:t>
      </w:r>
      <w:r>
        <w:rPr/>
      </w:r>
      <m:oMath xmlns:m="http://schemas.openxmlformats.org/officeDocument/2006/math">
        <m:r>
          <w:rPr>
            <w:rFonts w:ascii="Cambria Math" w:hAnsi="Cambria Math"/>
          </w:rPr>
          <m:t xml:space="preserve">B</m:t>
        </m:r>
      </m:oMath>
      <w:r>
        <w:rPr/>
        <w:t xml:space="preserve">, </w:t>
      </w:r>
      <w:r>
        <w:rPr/>
      </w:r>
      <m:oMath xmlns:m="http://schemas.openxmlformats.org/officeDocument/2006/math">
        <m:r>
          <w:rPr>
            <w:rFonts w:ascii="Cambria Math" w:hAnsi="Cambria Math"/>
          </w:rPr>
          <m:t xml:space="preserve">Q</m:t>
        </m:r>
      </m:oMath>
      <w:r>
        <w:rPr/>
        <w:t xml:space="preserve"> discretas o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c</m:t>
            </m:r>
          </m:sub>
        </m:sSub>
      </m:oMath>
      <w:r>
        <w:rPr/>
        <w:t xml:space="preserve">, </w:t>
      </w:r>
      <w:r>
        <w:rPr/>
      </w:r>
      <m:oMath xmlns:m="http://schemas.openxmlformats.org/officeDocument/2006/math">
        <m:sSub>
          <m:e>
            <m:r>
              <w:rPr>
                <w:rFonts w:ascii="Cambria Math" w:hAnsi="Cambria Math"/>
              </w:rPr>
              <m:t xml:space="preserve">Q</m:t>
            </m:r>
          </m:e>
          <m:sub>
            <m:r>
              <w:rPr>
                <w:rFonts w:ascii="Cambria Math" w:hAnsi="Cambria Math"/>
              </w:rPr>
              <m:t xml:space="preserve">c</m:t>
            </m:r>
          </m:sub>
        </m:sSub>
      </m:oMath>
      <w:r>
        <w:rPr/>
        <w:t xml:space="preserve"> continuas (con </w:t>
      </w:r>
      <w:r>
        <w:rPr>
          <w:rStyle w:val="VerbatimChar"/>
        </w:rPr>
        <w:t>continuous: true</w:t>
      </w:r>
      <w:r>
        <w:rPr/>
        <w:t xml:space="preserve">), nombres y unidades de estados y señales de entrada. Nuevos modelos en Python se registran con el decorador </w:t>
      </w:r>
      <w:r>
        <w:rPr>
          <w:rStyle w:val="VerbatimChar"/>
        </w:rPr>
        <w:t>register_model</w:t>
      </w:r>
      <w:r>
        <w:rPr/>
        <w:t>.</w:t>
      </w:r>
      <w:bookmarkEnd w:id="38"/>
    </w:p>
    <w:p>
      <w:pPr>
        <w:pStyle w:val="Heading2"/>
        <w:rPr/>
      </w:pPr>
      <w:bookmarkStart w:id="39" w:name="__RefHeading___Toc11024_1564873447"/>
      <w:bookmarkStart w:id="40" w:name="generador-del-valor-verdadero"/>
      <w:bookmarkEnd w:id="39"/>
      <w:r>
        <w:rPr/>
        <w:t>5.3 Generador del valor verdadero</w:t>
      </w:r>
    </w:p>
    <w:p>
      <w:pPr>
        <w:pStyle w:val="FirstParagraph"/>
        <w:rPr/>
      </w:pPr>
      <w:r>
        <w:rPr>
          <w:rStyle w:val="VerbatimChar"/>
        </w:rPr>
        <w:t>GroundTruthSimulator</w:t>
      </w:r>
      <w:r>
        <w:rPr/>
        <w:t xml:space="preserve"> (</w:t>
      </w:r>
      <w:r>
        <w:rPr>
          <w:rStyle w:val="VerbatimChar"/>
        </w:rPr>
        <w:t>simulation/ground_truth.py</w:t>
      </w:r>
      <w:r>
        <w:rPr/>
        <w:t xml:space="preserve">) genera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 xml:space="preserve"> (o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oMath>
      <w:r>
        <w:rPr/>
        <w:t xml:space="preserve">) y propaga </w:t>
      </w:r>
      <w:r>
        <w:rPr/>
      </w:r>
      <m:oMath xmlns:m="http://schemas.openxmlformats.org/officeDocument/2006/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t xml:space="preserve"> con </w:t>
      </w:r>
      <w:r>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η</m:t>
            </m:r>
          </m:e>
          <m:sub>
            <m:r>
              <w:rPr>
                <w:rFonts w:ascii="Cambria Math" w:hAnsi="Cambria Math"/>
              </w:rPr>
              <m:t xml:space="preserve">k</m:t>
            </m:r>
          </m:sub>
        </m:sSub>
      </m:oMath>
      <w:r>
        <w:rPr/>
        <w:t xml:space="preserve">, </w:t>
      </w:r>
      <w:r>
        <w:rPr/>
      </w:r>
      <m:oMath xmlns:m="http://schemas.openxmlformats.org/officeDocument/2006/math">
        <m:sSub>
          <m:e>
            <m:r>
              <w:rPr>
                <w:rFonts w:ascii="Cambria Math" w:hAnsi="Cambria Math"/>
              </w:rPr>
              <m:t xml:space="preserve">L</m:t>
            </m:r>
          </m:e>
          <m:sub>
            <m:r>
              <w:rPr>
                <w:rFonts w:ascii="Cambria Math" w:hAnsi="Cambria Math"/>
              </w:rPr>
              <m:t xml:space="preserve">Q</m:t>
            </m:r>
          </m:sub>
        </m:sSub>
        <m:sSubSup>
          <m:e>
            <m:r>
              <w:rPr>
                <w:rFonts w:ascii="Cambria Math" w:hAnsi="Cambria Math"/>
              </w:rPr>
              <m:t xml:space="preserve">L</m:t>
            </m:r>
          </m:e>
          <m:sub>
            <m:r>
              <w:rPr>
                <w:rFonts w:ascii="Cambria Math" w:hAnsi="Cambria Math"/>
              </w:rPr>
              <m:t xml:space="preserve">Q</m:t>
            </m:r>
          </m:sub>
          <m:sup>
            <m:r>
              <w:rPr>
                <w:rFonts w:ascii="Cambria Math" w:hAnsi="Cambria Math"/>
              </w:rPr>
              <m:t xml:space="preserve">T</m:t>
            </m:r>
          </m:sup>
        </m:sSubSup>
        <m:r>
          <w:rPr>
            <w:rFonts w:ascii="Cambria Math" w:hAnsi="Cambria Math"/>
          </w:rPr>
          <m:t xml:space="preserve">=</m:t>
        </m:r>
        <m:r>
          <w:rPr>
            <w:rFonts w:ascii="Cambria Math" w:hAnsi="Cambria Math"/>
          </w:rPr>
          <m:t xml:space="preserve">Q</m:t>
        </m:r>
      </m:oMath>
      <w:r>
        <w:rPr/>
        <w:t xml:space="preserve"> (Cholesky o descomposición espectral si </w:t>
      </w:r>
      <w:r>
        <w:rPr/>
      </w:r>
      <m:oMath xmlns:m="http://schemas.openxmlformats.org/officeDocument/2006/math">
        <m:r>
          <w:rPr>
            <w:rFonts w:ascii="Cambria Math" w:hAnsi="Cambria Math"/>
          </w:rPr>
          <m:t xml:space="preserve">Q</m:t>
        </m:r>
      </m:oMath>
      <w:r>
        <w:rPr/>
        <w:t xml:space="preserve"> es semidefinida). El valor verdadero </w:t>
      </w:r>
      <w:r>
        <w:rPr/>
      </w:r>
      <m:oMath xmlns:m="http://schemas.openxmlformats.org/officeDocument/2006/math">
        <m:sSubSup>
          <m:e>
            <m:r>
              <w:rPr>
                <w:rFonts w:ascii="Cambria Math" w:hAnsi="Cambria Math"/>
              </w:rPr>
              <m:t xml:space="preserve">x</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xml:space="preserve"> se conserva para todo el horizonte y solo lo utiliza el entorno experimental (generación de sensores y evaluación). Los estimadores reciben únicamente el objeto </w:t>
      </w:r>
      <w:r>
        <w:rPr>
          <w:rStyle w:val="VerbatimChar"/>
        </w:rPr>
        <w:t>MeasurementSet</w:t>
      </w:r>
      <w:r>
        <w:rPr/>
        <w:t xml:space="preserve"> (tiempos, mediciones, entradas conocidas, especificaciones nominales de los sensores y la distribución a priori del estado inicial); los métodos marcados como </w:t>
      </w:r>
      <w:r>
        <w:rPr>
          <w:b/>
          <w:bCs/>
        </w:rPr>
        <w:t>oráculo</w:t>
      </w:r>
      <w:r>
        <w:rPr/>
        <w:t xml:space="preserve"> reciben explícitamente </w:t>
      </w:r>
      <w:r>
        <w:rPr>
          <w:rStyle w:val="VerbatimChar"/>
        </w:rPr>
        <w:t>OracleInfo</w:t>
      </w:r>
      <w:r>
        <w:rPr/>
        <w:t xml:space="preserve"> y se etiquetan como referencias no realizables.</w:t>
      </w:r>
      <w:bookmarkEnd w:id="33"/>
      <w:bookmarkEnd w:id="40"/>
    </w:p>
    <w:p>
      <w:pPr>
        <w:pStyle w:val="Heading1"/>
        <w:rPr/>
      </w:pPr>
      <w:bookmarkStart w:id="41" w:name="__RefHeading___Toc11026_1564873447"/>
      <w:bookmarkStart w:id="42" w:name="modelo-de-sensores"/>
      <w:bookmarkEnd w:id="41"/>
      <w:r>
        <w:rPr/>
        <w:t>6. Modelo de sensores</w:t>
      </w:r>
    </w:p>
    <w:p>
      <w:pPr>
        <w:pStyle w:val="Heading2"/>
        <w:rPr/>
      </w:pPr>
      <w:bookmarkStart w:id="43" w:name="__RefHeading___Toc11028_1564873447"/>
      <w:bookmarkStart w:id="44" w:name="especificación"/>
      <w:bookmarkEnd w:id="43"/>
      <w:r>
        <w:rPr/>
        <w:t>6.1 Especificación</w:t>
      </w:r>
    </w:p>
    <w:p>
      <w:pPr>
        <w:pStyle w:val="FirstParagraph"/>
        <w:rPr/>
      </w:pPr>
      <w:r>
        <w:rPr/>
        <w:t>Cada sensor virtual (</w:t>
      </w:r>
      <w:r>
        <w:rPr>
          <w:rStyle w:val="VerbatimChar"/>
        </w:rPr>
        <w:t>sensors/sensor.py</w:t>
      </w:r>
      <w:r>
        <w:rPr/>
        <w:t xml:space="preserve">) se configura con: nombre; variable medida (índice o nombre del estado, matriz </w:t>
      </w:r>
      <w:r>
        <w:rPr/>
      </w:r>
      <m:oMath xmlns:m="http://schemas.openxmlformats.org/officeDocument/2006/math">
        <m:sSub>
          <m:e>
            <m:r>
              <w:rPr>
                <w:rFonts w:ascii="Cambria Math" w:hAnsi="Cambria Math"/>
              </w:rPr>
              <m:t xml:space="preserve">H</m:t>
            </m:r>
          </m:e>
          <m:sub>
            <m:r>
              <w:rPr>
                <w:rFonts w:ascii="Cambria Math" w:hAnsi="Cambria Math"/>
              </w:rPr>
              <m:t xml:space="preserve">i</m:t>
            </m:r>
          </m:sub>
        </m:sSub>
      </m:oMath>
      <w:r>
        <w:rPr/>
        <w:t xml:space="preserve"> explícita o función de medición con nombre); frecuencia; modelo de ruido; desviación supuesta por los estimadores; sesgo nominal no compensado; resolución; rango; retardo de transporte; probabilidad nominal de pérdida; confiabilidad nominal </w:t>
      </w:r>
      <w:r>
        <w:rPr/>
      </w:r>
      <m:oMath xmlns:m="http://schemas.openxmlformats.org/officeDocument/2006/math">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oMath>
      <w:r>
        <w:rPr/>
        <w:t xml:space="preserve"> y lista de degradaciones. No existe límite en el número de sensores.</w:t>
      </w:r>
      <w:bookmarkEnd w:id="44"/>
    </w:p>
    <w:p>
      <w:pPr>
        <w:pStyle w:val="Heading2"/>
        <w:rPr/>
      </w:pPr>
      <w:bookmarkStart w:id="45" w:name="__RefHeading___Toc11030_1564873447"/>
      <w:bookmarkStart w:id="46" w:name="cadena-de-medición"/>
      <w:bookmarkEnd w:id="45"/>
      <w:r>
        <w:rPr/>
        <w:t>6.2 Cadena de medición</w:t>
      </w:r>
    </w:p>
    <w:p>
      <w:pPr>
        <w:pStyle w:val="FirstParagraph"/>
        <w:rPr/>
      </w:pPr>
      <w:r>
        <w:rPr/>
        <w:t xml:space="preserve">Con retardo de </w:t>
      </w:r>
      <w:r>
        <w:rPr/>
      </w:r>
      <m:oMath xmlns:m="http://schemas.openxmlformats.org/officeDocument/2006/math">
        <m:r>
          <w:rPr>
            <w:rFonts w:ascii="Cambria Math" w:hAnsi="Cambria Math"/>
          </w:rPr>
          <m:t xml:space="preserve">d</m:t>
        </m:r>
      </m:oMath>
      <w:r>
        <w:rPr/>
        <w:t xml:space="preserve"> muestras, la medición del sensor </w:t>
      </w:r>
      <w:r>
        <w:rPr/>
      </w:r>
      <m:oMath xmlns:m="http://schemas.openxmlformats.org/officeDocument/2006/math">
        <m:r>
          <w:rPr>
            <w:rFonts w:ascii="Cambria Math" w:hAnsi="Cambria Math"/>
          </w:rPr>
          <m:t xml:space="preserve">i</m:t>
        </m:r>
      </m:oMath>
      <w:r>
        <w:rPr/>
        <w:t xml:space="preserve"> en el paso base </w:t>
      </w:r>
      <w:r>
        <w:rPr/>
      </w:r>
      <m:oMath xmlns:m="http://schemas.openxmlformats.org/officeDocument/2006/math">
        <m:r>
          <w:rPr>
            <w:rFonts w:ascii="Cambria Math" w:hAnsi="Cambria Math"/>
          </w:rPr>
          <m:t xml:space="preserve">k</m:t>
        </m:r>
      </m:oMath>
      <w:r>
        <w:rPr/>
        <w:t xml:space="preserve"> se construye como:</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d</m:t>
              </m:r>
            </m:sub>
          </m:sSub>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d>
            <m:dPr>
              <m:begChr m:val="("/>
              <m:endChr m:val=")"/>
            </m:dPr>
            <m:e>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u</m:t>
          </m:r>
          <m:r>
            <w:rPr>
              <w:rFonts w:ascii="Cambria Math" w:hAnsi="Cambria Math"/>
            </w:rPr>
            <m:t xml:space="preserve">c</m:t>
          </m:r>
          <m:r>
            <w:rPr>
              <w:rFonts w:ascii="Cambria Math" w:hAnsi="Cambria Math"/>
            </w:rPr>
            <m:t xml:space="preserve">k</m:t>
          </m:r>
          <m:d>
            <m:dPr>
              <m:begChr m:val="("/>
              <m:endChr m:val=")"/>
            </m:dPr>
            <m:e>
              <m:sSup>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e>
                <m:sup>
                  <m:r>
                    <w:rPr>
                      <w:rFonts w:ascii="Cambria Math" w:hAnsi="Cambria Math"/>
                    </w:rPr>
                    <m:t xml:space="preserve">d</m:t>
                  </m:r>
                  <m:r>
                    <w:rPr>
                      <w:rFonts w:ascii="Cambria Math" w:hAnsi="Cambria Math"/>
                    </w:rPr>
                    <m:t xml:space="preserve">e</m:t>
                  </m:r>
                  <m:r>
                    <w:rPr>
                      <w:rFonts w:ascii="Cambria Math" w:hAnsi="Cambria Math"/>
                    </w:rPr>
                    <m:t xml:space="preserve">g</m:t>
                  </m:r>
                </m:sup>
              </m:sSup>
              <m:d>
                <m:dPr>
                  <m:begChr m:val="("/>
                  <m:endChr m:val=")"/>
                </m:dPr>
                <m:e>
                  <m:sSub>
                    <m:e>
                      <m:r>
                        <w:rPr>
                          <w:rFonts w:ascii="Cambria Math" w:hAnsi="Cambria Math"/>
                        </w:rPr>
                        <m:t xml:space="preserve">Q</m:t>
                      </m:r>
                    </m:e>
                    <m:sub>
                      <m:r>
                        <w:rPr>
                          <w:rFonts w:ascii="Cambria Math" w:hAnsi="Cambria Math"/>
                        </w:rPr>
                        <m:t xml:space="preserve">Δ</m:t>
                      </m:r>
                    </m:sub>
                  </m:sSub>
                  <m:r>
                    <w:rPr>
                      <w:rFonts w:ascii="Cambria Math" w:hAnsi="Cambria Math"/>
                    </w:rPr>
                    <m:t xml:space="preserve">(</m:t>
                  </m:r>
                  <m:sSub>
                    <m:e>
                      <m:r>
                        <w:rPr>
                          <w:rFonts w:ascii="Cambria Math" w:hAnsi="Cambria Math"/>
                        </w:rPr>
                        <m:t xml:space="preserve">s</m:t>
                      </m:r>
                      <m:r>
                        <w:rPr>
                          <w:rFonts w:ascii="Cambria Math" w:hAnsi="Cambria Math"/>
                        </w:rPr>
                        <m:t xml:space="preserve">a</m:t>
                      </m:r>
                      <m:r>
                        <w:rPr>
                          <w:rFonts w:ascii="Cambria Math" w:hAnsi="Cambria Math"/>
                        </w:rPr>
                        <m:t xml:space="preserve">t</m:t>
                      </m:r>
                    </m:e>
                    <m:sub>
                      <m:d>
                        <m:dPr>
                          <m:begChr m:val="["/>
                          <m:endChr m:val="]"/>
                        </m:dPr>
                        <m:e>
                          <m:r>
                            <w:rPr>
                              <w:rFonts w:ascii="Cambria Math" w:hAnsi="Cambria Math"/>
                            </w:rPr>
                            <m:t xml:space="preserve">l</m:t>
                          </m:r>
                          <m:r>
                            <w:rPr>
                              <w:rFonts w:ascii="Cambria Math" w:hAnsi="Cambria Math"/>
                            </w:rPr>
                            <m:t xml:space="preserve">,</m:t>
                          </m:r>
                          <m:r>
                            <w:rPr>
                              <w:rFonts w:ascii="Cambria Math" w:hAnsi="Cambria Math"/>
                            </w:rPr>
                            <m:t xml:space="preserve">u</m:t>
                          </m:r>
                        </m:e>
                      </m:d>
                    </m:sub>
                  </m:sSub>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w:rPr>
                      <w:rFonts w:ascii="Cambria Math" w:hAnsi="Cambria Math"/>
                    </w:rPr>
                    <m:t xml:space="preserve">)</m:t>
                  </m:r>
                  <m:r>
                    <w:rPr>
                      <w:rFonts w:ascii="Cambria Math" w:hAnsi="Cambria Math"/>
                    </w:rPr>
                    <m:t xml:space="preserve">)</m:t>
                  </m:r>
                </m:e>
              </m:d>
            </m:e>
          </m:d>
          <m:r>
            <w:rPr>
              <w:rFonts w:ascii="Cambria Math" w:hAnsi="Cambria Math"/>
            </w:rPr>
            <m:t xml:space="preserve">,</m:t>
          </m:r>
        </m:oMath>
      </m:oMathPara>
    </w:p>
    <w:p>
      <w:pPr>
        <w:pStyle w:val="FirstParagraph"/>
        <w:rPr/>
      </w:pPr>
      <w:r>
        <w:rPr/>
        <w:t xml:space="preserve">donde </w:t>
      </w:r>
      <w:r>
        <w:rPr/>
      </w:r>
      <m:oMath xmlns:m="http://schemas.openxmlformats.org/officeDocument/2006/math">
        <m:sSub>
          <m:e>
            <m:r>
              <w:rPr>
                <w:rFonts w:ascii="Cambria Math" w:hAnsi="Cambria Math"/>
              </w:rPr>
              <m:t xml:space="preserve">α</m:t>
            </m:r>
          </m:e>
          <m:sub>
            <m:r>
              <w:rPr>
                <w:rFonts w:ascii="Cambria Math" w:hAnsi="Cambria Math"/>
              </w:rPr>
              <m:t xml:space="preserve">k</m:t>
            </m:r>
          </m:sub>
        </m:sSub>
      </m:oMath>
      <w:r>
        <w:rPr/>
        <w:t xml:space="preserve"> es el producto de los factores multiplicativos (pérdida de sensibilidad), </w:t>
      </w:r>
      <w:r>
        <w:rPr/>
      </w:r>
      <m:oMath xmlns:m="http://schemas.openxmlformats.org/officeDocument/2006/math">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oMath>
      <w:r>
        <w:rPr/>
        <w:t xml:space="preserve"> el sesgo nominal, </w:t>
      </w:r>
      <w:r>
        <w:rPr/>
      </w:r>
      <m:oMath xmlns:m="http://schemas.openxmlformats.org/officeDocument/2006/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oMath>
      <w:r>
        <w:rPr/>
        <w:t xml:space="preserve"> la suma de las degradaciones aditivas, </w:t>
      </w:r>
      <w:r>
        <w:rPr/>
      </w:r>
      <m:oMath xmlns:m="http://schemas.openxmlformats.org/officeDocument/2006/math">
        <m:sSub>
          <m:e>
            <m:r>
              <w:rPr>
                <w:rFonts w:ascii="Cambria Math" w:hAnsi="Cambria Math"/>
              </w:rPr>
              <m:t xml:space="preserve">v</m:t>
            </m:r>
          </m:e>
          <m:sub>
            <m:r>
              <w:rPr>
                <w:rFonts w:ascii="Cambria Math" w:hAnsi="Cambria Math"/>
              </w:rPr>
              <m:t xml:space="preserve">k</m:t>
            </m:r>
          </m:sub>
        </m:sSub>
      </m:oMath>
      <w:r>
        <w:rPr/>
        <w:t xml:space="preserve"> el ruido nominal, </w:t>
      </w:r>
      <w:r>
        <w:rPr/>
      </w:r>
      <m:oMath xmlns:m="http://schemas.openxmlformats.org/officeDocument/2006/math">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oMath>
      <w:r>
        <w:rPr/>
        <w:t xml:space="preserve"> el ruido de degradación, </w:t>
      </w:r>
      <w:r>
        <w:rPr/>
      </w:r>
      <m:oMath xmlns:m="http://schemas.openxmlformats.org/officeDocument/2006/math">
        <m:r>
          <w:rPr>
            <w:rFonts w:ascii="Cambria Math" w:hAnsi="Cambria Math"/>
          </w:rPr>
          <m:t xml:space="preserve">s</m:t>
        </m:r>
        <m:r>
          <w:rPr>
            <w:rFonts w:ascii="Cambria Math" w:hAnsi="Cambria Math"/>
          </w:rPr>
          <m:t xml:space="preserve">a</m:t>
        </m:r>
        <m:r>
          <w:rPr>
            <w:rFonts w:ascii="Cambria Math" w:hAnsi="Cambria Math"/>
          </w:rPr>
          <m:t xml:space="preserve">t</m:t>
        </m:r>
      </m:oMath>
      <w:r>
        <w:rPr/>
        <w:t xml:space="preserve"> el rango nominal, </w:t>
      </w:r>
      <w:r>
        <w:rPr/>
      </w:r>
      <m:oMath xmlns:m="http://schemas.openxmlformats.org/officeDocument/2006/math">
        <m:sSub>
          <m:e>
            <m:r>
              <w:rPr>
                <w:rFonts w:ascii="Cambria Math" w:hAnsi="Cambria Math"/>
              </w:rPr>
              <m:t xml:space="preserve">Q</m:t>
            </m:r>
          </m:e>
          <m:sub>
            <m:r>
              <w:rPr>
                <w:rFonts w:ascii="Cambria Math" w:hAnsi="Cambria Math"/>
              </w:rPr>
              <m:t xml:space="preserve">Δ</m:t>
            </m:r>
          </m:sub>
        </m:sSub>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r>
              <w:rPr>
                <w:rFonts w:ascii="Cambria Math" w:hAnsi="Cambria Math"/>
              </w:rPr>
              <m:t xml:space="preserve">y</m:t>
            </m:r>
          </m:num>
          <m:den>
            <m:r>
              <w:rPr>
                <w:rFonts w:ascii="Cambria Math" w:hAnsi="Cambria Math"/>
              </w:rPr>
              <m:t xml:space="preserve">Δ</m:t>
            </m:r>
          </m:den>
        </m:f>
        <m:r>
          <w:rPr>
            <w:rFonts w:ascii="Cambria Math" w:hAnsi="Cambria Math"/>
          </w:rPr>
          <m:t xml:space="preserve">)</m:t>
        </m:r>
      </m:oMath>
      <w:r>
        <w:rPr/>
        <w:t xml:space="preserve"> la resolución nominal, </w:t>
      </w:r>
      <w:r>
        <w:rPr/>
      </w:r>
      <m:oMath xmlns:m="http://schemas.openxmlformats.org/officeDocument/2006/math">
        <m:sSup>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e>
          <m:sup>
            <m:r>
              <w:rPr>
                <w:rFonts w:ascii="Cambria Math" w:hAnsi="Cambria Math"/>
              </w:rPr>
              <m:t xml:space="preserve">d</m:t>
            </m:r>
            <m:r>
              <w:rPr>
                <w:rFonts w:ascii="Cambria Math" w:hAnsi="Cambria Math"/>
              </w:rPr>
              <m:t xml:space="preserve">e</m:t>
            </m:r>
            <m:r>
              <w:rPr>
                <w:rFonts w:ascii="Cambria Math" w:hAnsi="Cambria Math"/>
              </w:rPr>
              <m:t xml:space="preserve">g</m:t>
            </m:r>
          </m:sup>
        </m:sSup>
      </m:oMath>
      <w:r>
        <w:rPr/>
        <w:t xml:space="preserve"> las degradaciones de posprocesamiento (saturación y cuantización degradadas) y </w:t>
      </w:r>
      <w:r>
        <w:rPr/>
      </w:r>
      <m:oMath xmlns:m="http://schemas.openxmlformats.org/officeDocument/2006/math">
        <m:r>
          <w:rPr>
            <w:rFonts w:ascii="Cambria Math" w:hAnsi="Cambria Math"/>
          </w:rPr>
          <m:t xml:space="preserve">s</m:t>
        </m:r>
        <m:r>
          <w:rPr>
            <w:rFonts w:ascii="Cambria Math" w:hAnsi="Cambria Math"/>
          </w:rPr>
          <m:t xml:space="preserve">t</m:t>
        </m:r>
        <m:r>
          <w:rPr>
            <w:rFonts w:ascii="Cambria Math" w:hAnsi="Cambria Math"/>
          </w:rPr>
          <m:t xml:space="preserve">u</m:t>
        </m:r>
        <m:r>
          <w:rPr>
            <w:rFonts w:ascii="Cambria Math" w:hAnsi="Cambria Math"/>
          </w:rPr>
          <m:t xml:space="preserve">c</m:t>
        </m:r>
        <m:r>
          <w:rPr>
            <w:rFonts w:ascii="Cambria Math" w:hAnsi="Cambria Math"/>
          </w:rPr>
          <m:t xml:space="preserve">k</m:t>
        </m:r>
      </m:oMath>
      <w:r>
        <w:rPr/>
        <w:t xml:space="preserve"> el congelamiento. Finalmente se aplica la máscara de disponibilidad: el sensor solo produce muestra cuando </w:t>
      </w:r>
      <w:r>
        <w:rPr/>
      </w:r>
      <m:oMath xmlns:m="http://schemas.openxmlformats.org/officeDocument/2006/math">
        <m:r>
          <w:rPr>
            <w:rFonts w:ascii="Cambria Math" w:hAnsi="Cambria Math"/>
          </w:rPr>
          <m:t xml:space="preserve">k</m:t>
        </m:r>
        <m:r>
          <w:rPr>
            <w:rFonts w:ascii="Cambria Math" w:hAnsi="Cambria Math"/>
          </w:rPr>
          <m:t xml:space="preserve">mod</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sSub>
              <m:e>
                <m:r>
                  <w:rPr>
                    <w:rFonts w:ascii="Cambria Math" w:hAnsi="Cambria Math"/>
                  </w:rPr>
                  <m:t xml:space="preserve">f</m:t>
                </m:r>
              </m:e>
              <m:sub>
                <m:r>
                  <w:rPr>
                    <w:rFonts w:ascii="Cambria Math" w:hAnsi="Cambria Math"/>
                  </w:rPr>
                  <m:t xml:space="preserve">s</m:t>
                </m:r>
              </m:sub>
            </m:sSub>
          </m:num>
          <m:den>
            <m:sSub>
              <m:e>
                <m:r>
                  <w:rPr>
                    <w:rFonts w:ascii="Cambria Math" w:hAnsi="Cambria Math"/>
                  </w:rPr>
                  <m:t xml:space="preserve">f</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y la muestra no se pierde por pérdida nominal ni por degradación; las muestras no disponibles se representan como </w:t>
      </w:r>
      <w:r>
        <w:rPr>
          <w:rStyle w:val="VerbatimChar"/>
        </w:rPr>
        <w:t>NaN</w:t>
      </w:r>
      <w:r>
        <w:rPr/>
        <w:t>.</w:t>
      </w:r>
    </w:p>
    <w:p>
      <w:pPr>
        <w:pStyle w:val="BodyText"/>
        <w:rPr/>
      </w:pPr>
      <w:r>
        <w:rPr/>
        <w:t xml:space="preserve">El valor verdadero asociado a cada sensor incluye la medición limpia </w:t>
      </w:r>
      <w:r>
        <w:rPr/>
      </w:r>
      <m:oMath xmlns:m="http://schemas.openxmlformats.org/officeDocument/2006/math">
        <m:sSub>
          <m:e>
            <m:r>
              <w:rPr>
                <w:rFonts w:ascii="Cambria Math" w:hAnsi="Cambria Math"/>
              </w:rPr>
              <m:t xml:space="preserve">c</m:t>
            </m:r>
          </m:e>
          <m:sub>
            <m:r>
              <w:rPr>
                <w:rFonts w:ascii="Cambria Math" w:hAnsi="Cambria Math"/>
              </w:rPr>
              <m:t xml:space="preserve">k</m:t>
            </m:r>
          </m:sub>
        </m:sSub>
      </m:oMath>
      <w:r>
        <w:rPr/>
        <w:t>, el error sistemático verdadero y la varianza verdadera del ruido:</w:t>
      </w:r>
    </w:p>
    <w:p>
      <w:pPr>
        <w:pStyle w:val="BodyText"/>
        <w:jc w:val="center"/>
        <w:rPr/>
      </w:pPr>
      <w:bookmarkStart w:id="47" w:name="cadena-de-medición"/>
      <w:r>
        <w:rPr/>
      </w:r>
      <m:oMathPara xmlns:m="http://schemas.openxmlformats.org/officeDocument/2006/math">
        <m:oMathParaPr>
          <m:jc m:val="center"/>
        </m:oMathParaPr>
        <m:o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k</m:t>
              </m:r>
            </m:sub>
            <m:sup>
              <m:r>
                <w:rPr>
                  <w:rFonts w:ascii="Cambria Math" w:hAnsi="Cambria Math"/>
                </w:rPr>
                <m:t xml:space="preserve">2</m:t>
              </m:r>
            </m:sup>
          </m:sSubSup>
          <m:d>
            <m:dPr>
              <m:begChr m:val="("/>
              <m:endChr m:val=")"/>
            </m:dPr>
            <m:e>
              <m:r>
                <w:rPr>
                  <w:rFonts w:ascii="Cambria Math" w:hAnsi="Cambria Math"/>
                </w:rPr>
                <m:t xml:space="preserve">V</m:t>
              </m:r>
              <m:r>
                <w:rPr>
                  <w:rFonts w:ascii="Cambria Math" w:hAnsi="Cambria Math"/>
                </w:rPr>
                <m:t xml:space="preserve">a</m:t>
              </m:r>
              <m:r>
                <w:rPr>
                  <w:rFonts w:ascii="Cambria Math" w:hAnsi="Cambria Math"/>
                </w:rPr>
                <m:t xml:space="preserve">r</m:t>
              </m:r>
              <m:d>
                <m:dPr>
                  <m:begChr m:val="["/>
                  <m:endChr m:val="]"/>
                </m:dPr>
                <m:e>
                  <m:sSub>
                    <m:e>
                      <m:r>
                        <w:rPr>
                          <w:rFonts w:ascii="Cambria Math" w:hAnsi="Cambria Math"/>
                        </w:rPr>
                        <m:t xml:space="preserve">v</m:t>
                      </m:r>
                    </m:e>
                    <m:sub>
                      <m:r>
                        <w:rPr>
                          <w:rFonts w:ascii="Cambria Math" w:hAnsi="Cambria Math"/>
                        </w:rPr>
                        <m:t xml:space="preserve">k</m:t>
                      </m:r>
                    </m:sub>
                  </m:sSub>
                </m:e>
              </m:d>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r</m:t>
              </m:r>
              <m:d>
                <m:dPr>
                  <m:begChr m:val="["/>
                  <m:endChr m:val="]"/>
                </m:dPr>
                <m:e>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e>
              </m:d>
            </m:e>
          </m:d>
          <m:r>
            <w:rPr>
              <w:rFonts w:ascii="Cambria Math" w:hAnsi="Cambria Math"/>
            </w:rPr>
            <m:t xml:space="preserve">.</m:t>
          </m:r>
        </m:oMath>
      </m:oMathPara>
      <w:bookmarkEnd w:id="47"/>
    </w:p>
    <w:p>
      <w:pPr>
        <w:pStyle w:val="Heading2"/>
        <w:rPr/>
      </w:pPr>
      <w:bookmarkStart w:id="48" w:name="__RefHeading___Toc11032_1564873447"/>
      <w:bookmarkStart w:id="49" w:name="covarianza-nominal"/>
      <w:bookmarkEnd w:id="48"/>
      <w:r>
        <w:rPr/>
        <w:t>6.3 Covarianza nominal</w:t>
      </w:r>
    </w:p>
    <w:p>
      <w:pPr>
        <w:pStyle w:val="FirstParagraph"/>
        <w:rPr/>
      </w:pPr>
      <w:r>
        <w:rPr/>
        <w:t xml:space="preserve">Los estimadores usan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oMath>
      <w:r>
        <w:rPr/>
        <w:t xml:space="preserve">, donde </w:t>
      </w:r>
      <w:r>
        <w:rPr/>
      </w:r>
      <m:oMath xmlns:m="http://schemas.openxmlformats.org/officeDocument/2006/math">
        <m:sSub>
          <m:e>
            <m:r>
              <w:rPr>
                <w:rFonts w:ascii="Cambria Math" w:hAnsi="Cambria Math"/>
              </w:rPr>
              <m:t xml:space="preserve">σ</m:t>
            </m:r>
          </m:e>
          <m:sub>
            <m:r>
              <w:rPr>
                <w:rFonts w:ascii="Cambria Math" w:hAnsi="Cambria Math"/>
              </w:rPr>
              <m:t xml:space="preserve">i</m:t>
            </m:r>
          </m:sub>
        </m:sSub>
      </m:oMath>
      <w:r>
        <w:rPr/>
        <w:t xml:space="preserve"> es la desviación nominal del modelo de ruido o, si se indica, la desviación supuesta (</w:t>
      </w:r>
      <w:r>
        <w:rPr>
          <w:rStyle w:val="VerbatimChar"/>
        </w:rPr>
        <w:t>assumed_std</w:t>
      </w:r>
      <w:r>
        <w:rPr/>
        <w:t>), lo que permite estudiar desajustes de modelo.</w:t>
      </w:r>
      <w:bookmarkEnd w:id="42"/>
      <w:bookmarkEnd w:id="49"/>
    </w:p>
    <w:p>
      <w:pPr>
        <w:pStyle w:val="Heading1"/>
        <w:rPr/>
      </w:pPr>
      <w:bookmarkStart w:id="50" w:name="__RefHeading___Toc11034_1564873447"/>
      <w:bookmarkStart w:id="51" w:name="modelos-de-ruido"/>
      <w:bookmarkEnd w:id="50"/>
      <w:r>
        <w:rPr/>
        <w:t>7. Modelos de ruido</w:t>
      </w:r>
    </w:p>
    <w:p>
      <w:pPr>
        <w:pStyle w:val="FirstParagraph"/>
        <w:rPr/>
      </w:pPr>
      <w:r>
        <w:rPr>
          <w:rStyle w:val="VerbatimChar"/>
        </w:rPr>
        <w:t>sensors/noise.py</w:t>
      </w:r>
      <w:r>
        <w:rPr/>
        <w:t xml:space="preserve"> implementa ocho modelos; cada uno devuelve la realización </w:t>
      </w:r>
      <w:r>
        <w:rPr/>
      </w:r>
      <m:oMath xmlns:m="http://schemas.openxmlformats.org/officeDocument/2006/math">
        <m:sSub>
          <m:e>
            <m:r>
              <w:rPr>
                <w:rFonts w:ascii="Cambria Math" w:hAnsi="Cambria Math"/>
              </w:rPr>
              <m:t xml:space="preserve">v</m:t>
            </m:r>
          </m:e>
          <m:sub>
            <m:r>
              <w:rPr>
                <w:rFonts w:ascii="Cambria Math" w:hAnsi="Cambria Math"/>
              </w:rPr>
              <m:t xml:space="preserve">k</m:t>
            </m:r>
          </m:sub>
        </m:sSub>
      </m:oMath>
      <w:r>
        <w:rPr/>
        <w:t xml:space="preserve"> y su varianza verdadera instantánea: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36"/>
        <w:gridCol w:w="4435"/>
        <w:gridCol w:w="2061"/>
      </w:tblGrid>
      <w:tr>
        <w:trPr>
          <w:tblHeader w:val="true"/>
        </w:trPr>
        <w:tc>
          <w:tcPr>
            <w:tcW w:w="313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Tipo</w:t>
            </w:r>
          </w:p>
        </w:tc>
        <w:tc>
          <w:tcPr>
            <w:tcW w:w="443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Definición</w:t>
            </w:r>
          </w:p>
        </w:tc>
        <w:tc>
          <w:tcPr>
            <w:tcW w:w="206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Varianza verdadera</w:t>
            </w:r>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gaussian</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oMath>
            </m:oMathPara>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uniform</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a</m:t>
              </m:r>
              <m:r>
                <w:rPr>
                  <w:rFonts w:ascii="Cambria Math" w:hAnsi="Cambria Math"/>
                </w:rPr>
                <m:t xml:space="preserve">=</m:t>
              </m:r>
              <m:rad>
                <m:radPr>
                  <m:degHide m:val="1"/>
                </m:radPr>
                <m:deg/>
                <m:e>
                  <m:r>
                    <w:rPr>
                      <w:rFonts w:ascii="Cambria Math" w:hAnsi="Cambria Math"/>
                    </w:rPr>
                    <m:t xml:space="preserve">3</m:t>
                  </m:r>
                </m:e>
              </m:rad>
              <m:r>
                <w:rPr>
                  <w:rFonts w:ascii="Cambria Math" w:hAnsi="Cambria Math"/>
                </w:rPr>
                <m:t xml:space="preserve">σ</m:t>
              </m:r>
            </m:oMath>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time_varying</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A</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t</m:t>
                        </m:r>
                      </m:e>
                      <m:sub>
                        <m:r>
                          <w:rPr>
                            <w:rFonts w:ascii="Cambria Math" w:hAnsi="Cambria Math"/>
                          </w:rPr>
                          <m:t xml:space="preserve">k</m:t>
                        </m:r>
                      </m:sub>
                    </m:sSub>
                  </m:num>
                  <m:den>
                    <m:r>
                      <w:rPr>
                        <w:rFonts w:ascii="Cambria Math" w:hAnsi="Cambria Math"/>
                      </w:rPr>
                      <m:t xml:space="preserve">P</m:t>
                    </m:r>
                  </m:den>
                </m:f>
                <m:r>
                  <w:rPr>
                    <w:rFonts w:ascii="Cambria Math" w:hAnsi="Cambria Math"/>
                  </w:rPr>
                  <m:t xml:space="preserve">)</m:t>
                </m:r>
                <m:r>
                  <w:rPr>
                    <w:rFonts w:ascii="Cambria Math" w:hAnsi="Cambria Math"/>
                  </w:rPr>
                  <m:t xml:space="preserve">)</m:t>
                </m:r>
              </m:oMath>
            </m:oMathPara>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time_dependent</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s</m:t>
                </m:r>
                <m:sSub>
                  <m:e>
                    <m:r>
                      <w:rPr>
                        <w:rFonts w:ascii="Cambria Math" w:hAnsi="Cambria Math"/>
                      </w:rPr>
                      <m:t xml:space="preserve">t</m:t>
                    </m:r>
                  </m:e>
                  <m:sub>
                    <m:r>
                      <w:rPr>
                        <w:rFonts w:ascii="Cambria Math" w:hAnsi="Cambria Math"/>
                      </w:rPr>
                      <m:t xml:space="preserve">k</m:t>
                    </m:r>
                  </m:sub>
                </m:sSub>
              </m:oMath>
            </m:oMathPara>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heteroscedastic</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m:t>
                </m:r>
              </m:oMath>
            </m:oMathPara>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correlated</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ϕ</m:t>
              </m:r>
              <m:sSub>
                <m:e>
                  <m:r>
                    <w:rPr>
                      <w:rFonts w:ascii="Cambria Math" w:hAnsi="Cambria Math"/>
                    </w:rPr>
                    <m:t xml:space="preserve">v</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ϕ</m:t>
                      </m:r>
                    </m:e>
                    <m:sup>
                      <m:r>
                        <w:rPr>
                          <w:rFonts w:ascii="Cambria Math" w:hAnsi="Cambria Math"/>
                        </w:rPr>
                        <m:t xml:space="preserve">2</m:t>
                      </m:r>
                    </m:sup>
                  </m:sSup>
                </m:e>
              </m:rad>
              <m:r>
                <w:rPr>
                  <w:rFonts w:ascii="Cambria Math" w:hAnsi="Cambria Math"/>
                </w:rPr>
                <m:t xml:space="preserve">σ</m:t>
              </m:r>
              <m:sSub>
                <m:e>
                  <m:r>
                    <w:rPr>
                      <w:rFonts w:ascii="Cambria Math" w:hAnsi="Cambria Math"/>
                    </w:rPr>
                    <m:t xml:space="preserve">η</m:t>
                  </m:r>
                </m:e>
                <m:sub>
                  <m:r>
                    <w:rPr>
                      <w:rFonts w:ascii="Cambria Math" w:hAnsi="Cambria Math"/>
                    </w:rPr>
                    <m:t xml:space="preserve">k</m:t>
                  </m:r>
                </m:sub>
              </m:sSub>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ϕ</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τ</m:t>
                          </m:r>
                        </m:e>
                        <m:sub>
                          <m:r>
                            <w:rPr>
                              <w:rFonts w:ascii="Cambria Math" w:hAnsi="Cambria Math"/>
                            </w:rPr>
                            <m:t xml:space="preserve">c</m:t>
                          </m:r>
                        </m:sub>
                      </m:sSub>
                    </m:den>
                  </m:f>
                </m:sup>
              </m:sSup>
            </m:oMath>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burst</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σ</m:t>
              </m:r>
            </m:oMath>
            <w:r>
              <w:rPr>
                <w:rFonts w:eastAsia="" w:cs=""/>
                <w:kern w:val="0"/>
                <w:sz w:val="17"/>
                <w:szCs w:val="24"/>
                <w:lang w:val="en-US" w:eastAsia="zh-CN" w:bidi="ar-SA"/>
              </w:rPr>
              <w:t xml:space="preserve"> </w:t>
            </w:r>
            <w:r>
              <w:rPr>
                <w:rFonts w:eastAsia="" w:cs=""/>
                <w:kern w:val="0"/>
                <w:sz w:val="17"/>
                <w:szCs w:val="24"/>
                <w:lang w:val="en-US" w:eastAsia="zh-CN" w:bidi="ar-SA"/>
              </w:rPr>
              <w:t xml:space="preserve">multiplicada por </w:t>
            </w:r>
            <w:r>
              <w:rPr>
                <w:rFonts w:eastAsia="" w:cs=""/>
                <w:kern w:val="0"/>
                <w:szCs w:val="24"/>
                <w:lang w:val="en-US" w:eastAsia="zh-CN" w:bidi="ar-SA"/>
              </w:rPr>
            </w:r>
            <m:oMath xmlns:m="http://schemas.openxmlformats.org/officeDocument/2006/math">
              <m:r>
                <w:rPr>
                  <w:rFonts w:ascii="Cambria Math" w:hAnsi="Cambria Math"/>
                </w:rPr>
                <m:t xml:space="preserve">F</m:t>
              </m:r>
            </m:oMath>
            <w:r>
              <w:rPr>
                <w:rFonts w:eastAsia="" w:cs=""/>
                <w:kern w:val="0"/>
                <w:sz w:val="17"/>
                <w:szCs w:val="24"/>
                <w:lang w:val="en-US" w:eastAsia="zh-CN" w:bidi="ar-SA"/>
              </w:rPr>
              <w:t xml:space="preserve"> durante ráfagas markovianas</w:t>
            </w:r>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p>
                <m:e>
                  <m:r>
                    <w:rPr>
                      <w:rFonts w:ascii="Cambria Math" w:hAnsi="Cambria Math"/>
                    </w:rPr>
                    <m:t xml:space="preserve">σ</m:t>
                  </m:r>
                </m:e>
                <m:sup>
                  <m:r>
                    <w:rPr>
                      <w:rFonts w:ascii="Cambria Math" w:hAnsi="Cambria Math"/>
                    </w:rPr>
                    <m:t xml:space="preserve">2</m:t>
                  </m:r>
                </m:sup>
              </m:sSup>
            </m:oMath>
            <w:r>
              <w:rPr>
                <w:rFonts w:eastAsia="" w:cs=""/>
                <w:kern w:val="0"/>
                <w:sz w:val="17"/>
                <w:szCs w:val="24"/>
                <w:lang w:val="en-US" w:eastAsia="zh-CN" w:bidi="ar-SA"/>
              </w:rPr>
              <w:t xml:space="preserve"> </w:t>
            </w:r>
            <w:r>
              <w:rPr>
                <w:rFonts w:eastAsia="" w:cs=""/>
                <w:kern w:val="0"/>
                <w:sz w:val="17"/>
                <w:szCs w:val="24"/>
                <w:lang w:val="en-US" w:eastAsia="zh-CN" w:bidi="ar-SA"/>
              </w:rPr>
              <w:t xml:space="preserve">o </w:t>
            </w:r>
            <w:r>
              <w:rPr>
                <w:rFonts w:eastAsia="" w:cs=""/>
                <w:kern w:val="0"/>
                <w:szCs w:val="24"/>
                <w:lang w:val="en-US" w:eastAsia="zh-CN" w:bidi="ar-SA"/>
              </w:rPr>
            </w:r>
            <m:oMath xmlns:m="http://schemas.openxmlformats.org/officeDocument/2006/math">
              <m:sSup>
                <m:e>
                  <m:r>
                    <w:rPr>
                      <w:rFonts w:ascii="Cambria Math" w:hAnsi="Cambria Math"/>
                    </w:rPr>
                    <m:t xml:space="preserve">F</m:t>
                  </m:r>
                </m:e>
                <m:sup>
                  <m:r>
                    <w:rPr>
                      <w:rFonts w:ascii="Cambria Math" w:hAnsi="Cambria Math"/>
                    </w:rPr>
                    <m:t xml:space="preserve">2</m:t>
                  </m:r>
                </m:sup>
              </m:sSup>
              <m:sSup>
                <m:e>
                  <m:r>
                    <w:rPr>
                      <w:rFonts w:ascii="Cambria Math" w:hAnsi="Cambria Math"/>
                    </w:rPr>
                    <m:t xml:space="preserve">σ</m:t>
                  </m:r>
                </m:e>
                <m:sup>
                  <m:r>
                    <w:rPr>
                      <w:rFonts w:ascii="Cambria Math" w:hAnsi="Cambria Math"/>
                    </w:rPr>
                    <m:t xml:space="preserve">2</m:t>
                  </m:r>
                </m:sup>
              </m:sSup>
            </m:oMath>
          </w:p>
        </w:tc>
      </w:tr>
      <w:tr>
        <w:trPr/>
        <w:tc>
          <w:tcPr>
            <w:tcW w:w="31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impulsive</w:t>
            </w:r>
          </w:p>
        </w:tc>
        <w:tc>
          <w:tcPr>
            <w:tcW w:w="443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gaussiano más impulsos </w:t>
            </w:r>
            <w:r>
              <w:rPr>
                <w:rFonts w:eastAsia="" w:cs=""/>
                <w:kern w:val="0"/>
                <w:szCs w:val="24"/>
                <w:lang w:val="en-US" w:eastAsia="zh-CN"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r>
                    <w:rPr>
                      <w:rFonts w:ascii="Cambria Math" w:hAnsi="Cambria Math"/>
                    </w:rPr>
                    <m:t xml:space="preserve">m</m:t>
                  </m:r>
                  <m:r>
                    <w:rPr>
                      <w:rFonts w:ascii="Cambria Math" w:hAnsi="Cambria Math"/>
                    </w:rPr>
                    <m:t xml:space="preserve">p</m:t>
                  </m:r>
                </m:sub>
                <m:sup>
                  <m:r>
                    <w:rPr>
                      <w:rFonts w:ascii="Cambria Math" w:hAnsi="Cambria Math"/>
                    </w:rPr>
                    <m:t xml:space="preserve">2</m:t>
                  </m:r>
                </m:sup>
              </m:sSubSup>
              <m:r>
                <w:rPr>
                  <w:rFonts w:ascii="Cambria Math" w:hAnsi="Cambria Math"/>
                </w:rPr>
                <m:t xml:space="preserve">)</m:t>
              </m:r>
            </m:oMath>
            <w:r>
              <w:rPr>
                <w:rFonts w:eastAsia="" w:cs=""/>
                <w:kern w:val="0"/>
                <w:sz w:val="17"/>
                <w:szCs w:val="24"/>
                <w:lang w:val="en-US" w:eastAsia="zh-CN" w:bidi="ar-SA"/>
              </w:rPr>
              <w:t xml:space="preserve"> con probabilidad </w:t>
            </w:r>
            <w:r>
              <w:rPr>
                <w:rFonts w:eastAsia="" w:cs=""/>
                <w:kern w:val="0"/>
                <w:szCs w:val="24"/>
                <w:lang w:val="en-US" w:eastAsia="zh-CN" w:bidi="ar-SA"/>
              </w:rPr>
            </w:r>
            <m:oMath xmlns:m="http://schemas.openxmlformats.org/officeDocument/2006/math">
              <m:r>
                <w:rPr>
                  <w:rFonts w:ascii="Cambria Math" w:hAnsi="Cambria Math"/>
                </w:rPr>
                <m:t xml:space="preserve">p</m:t>
              </m:r>
            </m:oMath>
          </w:p>
        </w:tc>
        <w:tc>
          <w:tcPr>
            <w:tcW w:w="20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p</m:t>
                </m:r>
                <m:sSubSup>
                  <m:e>
                    <m:r>
                      <w:rPr>
                        <w:rFonts w:ascii="Cambria Math" w:hAnsi="Cambria Math"/>
                      </w:rPr>
                      <m:t xml:space="preserve">σ</m:t>
                    </m:r>
                  </m:e>
                  <m:sub>
                    <m:r>
                      <w:rPr>
                        <w:rFonts w:ascii="Cambria Math" w:hAnsi="Cambria Math"/>
                      </w:rPr>
                      <m:t xml:space="preserve">i</m:t>
                    </m:r>
                    <m:r>
                      <w:rPr>
                        <w:rFonts w:ascii="Cambria Math" w:hAnsi="Cambria Math"/>
                      </w:rPr>
                      <m:t xml:space="preserve">m</m:t>
                    </m:r>
                    <m:r>
                      <w:rPr>
                        <w:rFonts w:ascii="Cambria Math" w:hAnsi="Cambria Math"/>
                      </w:rPr>
                      <m:t xml:space="preserve">p</m:t>
                    </m:r>
                  </m:sub>
                  <m:sup>
                    <m:r>
                      <w:rPr>
                        <w:rFonts w:ascii="Cambria Math" w:hAnsi="Cambria Math"/>
                      </w:rPr>
                      <m:t xml:space="preserve">2</m:t>
                    </m:r>
                  </m:sup>
                </m:sSubSup>
              </m:oMath>
            </m:oMathPara>
          </w:p>
        </w:tc>
      </w:tr>
    </w:tbl>
    <w:p>
      <w:pPr>
        <w:pStyle w:val="BodyText"/>
        <w:rPr/>
      </w:pPr>
      <w:r>
        <w:rPr/>
        <w:t xml:space="preserve">En el ruido en ráfagas, las probabilidades de transición por paso son </w:t>
      </w:r>
      <w:r>
        <w:rPr/>
      </w:r>
      <m:oMath xmlns:m="http://schemas.openxmlformats.org/officeDocument/2006/math">
        <m:sSub>
          <m:e>
            <m:r>
              <w:rPr>
                <w:rFonts w:ascii="Cambria Math" w:hAnsi="Cambria Math"/>
              </w:rPr>
              <m:t xml:space="preserve">p</m:t>
            </m:r>
          </m:e>
          <m:sub>
            <m:r>
              <w:rPr>
                <w:rFonts w:ascii="Cambria Math" w:hAnsi="Cambria Math"/>
              </w:rPr>
              <m:t xml:space="preserve">o</m:t>
            </m:r>
            <m:r>
              <w:rPr>
                <w:rFonts w:ascii="Cambria Math" w:hAnsi="Cambria Math"/>
              </w:rPr>
              <m:t xml:space="preserve">n</m:t>
            </m:r>
          </m:sub>
        </m:sSub>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λ</m:t>
                </m:r>
              </m:e>
              <m:sub>
                <m:r>
                  <w:rPr>
                    <w:rFonts w:ascii="Cambria Math" w:hAnsi="Cambria Math"/>
                  </w:rPr>
                  <m:t xml:space="preserve">b</m:t>
                </m:r>
              </m:sub>
            </m:sSub>
            <m:sSub>
              <m:e>
                <m:r>
                  <w:rPr>
                    <w:rFonts w:ascii="Cambria Math" w:hAnsi="Cambria Math"/>
                  </w:rPr>
                  <m:t xml:space="preserve">T</m:t>
                </m:r>
              </m:e>
              <m:sub>
                <m:r>
                  <w:rPr>
                    <w:rFonts w:ascii="Cambria Math" w:hAnsi="Cambria Math"/>
                  </w:rPr>
                  <m:t xml:space="preserve">s</m:t>
                </m:r>
              </m:sub>
            </m:sSub>
          </m:sup>
        </m:sSup>
      </m:oMath>
      <w:r>
        <w:rPr/>
        <w:t xml:space="preserve"> y </w:t>
      </w:r>
      <w:r>
        <w:rPr/>
      </w:r>
      <m:oMath xmlns:m="http://schemas.openxmlformats.org/officeDocument/2006/math">
        <m:sSub>
          <m:e>
            <m:r>
              <w:rPr>
                <w:rFonts w:ascii="Cambria Math" w:hAnsi="Cambria Math"/>
              </w:rPr>
              <m:t xml:space="preserve">p</m:t>
            </m:r>
          </m:e>
          <m:sub>
            <m:r>
              <w:rPr>
                <w:rFonts w:ascii="Cambria Math" w:hAnsi="Cambria Math"/>
              </w:rPr>
              <m:t xml:space="preserve">o</m:t>
            </m:r>
            <m:r>
              <w:rPr>
                <w:rFonts w:ascii="Cambria Math" w:hAnsi="Cambria Math"/>
              </w:rPr>
              <m:t xml:space="preserve">f</m:t>
            </m:r>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D</m:t>
                    </m:r>
                  </m:e>
                  <m:sub>
                    <m:r>
                      <w:rPr>
                        <w:rFonts w:ascii="Cambria Math" w:hAnsi="Cambria Math"/>
                      </w:rPr>
                      <m:t xml:space="preserve">b</m:t>
                    </m:r>
                  </m:sub>
                </m:sSub>
              </m:den>
            </m:f>
          </m:sup>
        </m:sSup>
      </m:oMath>
      <w:r>
        <w:rPr/>
        <w:t xml:space="preserve">, con </w:t>
      </w:r>
      <w:r>
        <w:rPr/>
      </w:r>
      <m:oMath xmlns:m="http://schemas.openxmlformats.org/officeDocument/2006/math">
        <m:sSub>
          <m:e>
            <m:r>
              <w:rPr>
                <w:rFonts w:ascii="Cambria Math" w:hAnsi="Cambria Math"/>
              </w:rPr>
              <m:t xml:space="preserve">λ</m:t>
            </m:r>
          </m:e>
          <m:sub>
            <m:r>
              <w:rPr>
                <w:rFonts w:ascii="Cambria Math" w:hAnsi="Cambria Math"/>
              </w:rPr>
              <m:t xml:space="preserve">b</m:t>
            </m:r>
          </m:sub>
        </m:sSub>
      </m:oMath>
      <w:r>
        <w:rPr/>
        <w:t xml:space="preserve"> la tasa de ráfagas y </w:t>
      </w:r>
      <w:r>
        <w:rPr/>
      </w:r>
      <m:oMath xmlns:m="http://schemas.openxmlformats.org/officeDocument/2006/math">
        <m:sSub>
          <m:e>
            <m:r>
              <w:rPr>
                <w:rFonts w:ascii="Cambria Math" w:hAnsi="Cambria Math"/>
              </w:rPr>
              <m:t xml:space="preserve">D</m:t>
            </m:r>
          </m:e>
          <m:sub>
            <m:r>
              <w:rPr>
                <w:rFonts w:ascii="Cambria Math" w:hAnsi="Cambria Math"/>
              </w:rPr>
              <m:t xml:space="preserve">b</m:t>
            </m:r>
          </m:sub>
        </m:sSub>
      </m:oMath>
      <w:r>
        <w:rPr/>
        <w:t xml:space="preserve"> su duración media.</w:t>
      </w:r>
      <w:bookmarkEnd w:id="51"/>
    </w:p>
    <w:p>
      <w:pPr>
        <w:pStyle w:val="Heading1"/>
        <w:rPr/>
      </w:pPr>
      <w:bookmarkStart w:id="52" w:name="__RefHeading___Toc11036_1564873447"/>
      <w:bookmarkStart w:id="53" w:name="motor-de-degradación"/>
      <w:bookmarkEnd w:id="52"/>
      <w:r>
        <w:rPr/>
        <w:t>8. Motor de degradación</w:t>
      </w:r>
    </w:p>
    <w:p>
      <w:pPr>
        <w:pStyle w:val="Heading2"/>
        <w:rPr/>
      </w:pPr>
      <w:bookmarkStart w:id="54" w:name="__RefHeading___Toc11038_1564873447"/>
      <w:bookmarkStart w:id="55" w:name="perfiles-temporales"/>
      <w:bookmarkEnd w:id="54"/>
      <w:r>
        <w:rPr/>
        <w:t>8.1 Perfiles temporales</w:t>
      </w:r>
    </w:p>
    <w:p>
      <w:pPr>
        <w:pStyle w:val="FirstParagraph"/>
        <w:rPr/>
      </w:pPr>
      <w:r>
        <w:rPr/>
        <w:t xml:space="preserve">Cada degradación es modulada por una activación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Style w:val="VerbatimChar"/>
        </w:rPr>
        <w:t>degradation/profiles.py</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m>
                <m:mr>
                  <m:e>
                    <m:r>
                      <w:rPr>
                        <w:rFonts w:ascii="Cambria Math" w:hAnsi="Cambria Math"/>
                      </w:rPr>
                      <m:t xml:space="preserve">0</m:t>
                    </m:r>
                    <m:r>
                      <w:rPr>
                        <w:rFonts w:ascii="Cambria Math" w:hAnsi="Cambria Math"/>
                      </w:rPr>
                      <m:t xml:space="preserve">,</m:t>
                    </m:r>
                  </m:e>
                  <m:e>
                    <m:r>
                      <w:rPr>
                        <w:rFonts w:ascii="Cambria Math" w:hAnsi="Cambria Math"/>
                      </w:rPr>
                      <m:t xml:space="preserve">t</m:t>
                    </m:r>
                    <m:r>
                      <w:rPr>
                        <w:rFonts w:ascii="Cambria Math" w:hAnsi="Cambria Math"/>
                      </w:rPr>
                      <m:t xml:space="preserve">&lt;</m:t>
                    </m:r>
                    <m:sSub>
                      <m:e>
                        <m:r>
                          <w:rPr>
                            <w:rFonts w:ascii="Cambria Math" w:hAnsi="Cambria Math"/>
                          </w:rPr>
                          <m:t xml:space="preserve">t</m:t>
                        </m:r>
                      </m:e>
                      <m:sub>
                        <m:r>
                          <w:rPr>
                            <w:rFonts w:ascii="Cambria Math" w:hAnsi="Cambria Math"/>
                          </w:rPr>
                          <m:t xml:space="preserve">f</m:t>
                        </m:r>
                      </m:sub>
                    </m:sSub>
                  </m:e>
                </m:mr>
                <m:mr>
                  <m:e>
                    <m:r>
                      <w:rPr>
                        <w:rFonts w:ascii="Cambria Math" w:hAnsi="Cambria Math"/>
                      </w:rPr>
                      <m:t xml:space="preserve">o</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e>
                  <m:e>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e>
                </m:mr>
              </m:m>
            </m:e>
          </m:d>
        </m:oMath>
      </m:oMathPara>
    </w:p>
    <w:p>
      <w:pPr>
        <w:pStyle w:val="FirstParagraph"/>
        <w:rPr/>
      </w:pPr>
      <w:r>
        <w:rPr/>
        <w:t xml:space="preserve">con forma de inicio </w:t>
      </w:r>
      <w:r>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τ</m:t>
        </m:r>
        <m:r>
          <w:rPr>
            <w:rFonts w:ascii="Cambria Math" w:hAnsi="Cambria Math"/>
          </w:rPr>
          <m:t xml:space="preserve">)</m:t>
        </m:r>
      </m:oMath>
      <w:r>
        <w:rPr/>
        <w:t xml:space="preserve"> y envolvente de recuperación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tiempo de subida):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002"/>
        <w:gridCol w:w="5629"/>
      </w:tblGrid>
      <w:tr>
        <w:trPr>
          <w:tblHeader w:val="true"/>
        </w:trPr>
        <w:tc>
          <w:tcPr>
            <w:tcW w:w="400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Perfil</w:t>
            </w:r>
          </w:p>
        </w:tc>
        <w:tc>
          <w:tcPr>
            <w:tcW w:w="562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 xml:space="preserve">Forma de inicio </w:t>
            </w:r>
            <w:r>
              <w:rPr>
                <w:rFonts w:eastAsia="" w:cs=""/>
                <w:kern w:val="0"/>
                <w:szCs w:val="24"/>
                <w:lang w:val="en-US" w:eastAsia="zh-CN" w:bidi="ar-SA"/>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τ</m:t>
              </m:r>
              <m:r>
                <w:rPr>
                  <w:rFonts w:ascii="Cambria Math" w:hAnsi="Cambria Math"/>
                </w:rPr>
                <m:t xml:space="preserve">)</m:t>
              </m:r>
            </m:oMath>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Escalón (</w:t>
            </w:r>
            <w:r>
              <w:rPr>
                <w:rStyle w:val="VerbatimChar"/>
                <w:rFonts w:eastAsia="" w:cs=""/>
                <w:kern w:val="0"/>
                <w:sz w:val="17"/>
                <w:szCs w:val="24"/>
                <w:lang w:val="en-US" w:eastAsia="zh-CN" w:bidi="ar-SA"/>
              </w:rPr>
              <w:t>step</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
                  <w:rPr>
                    <w:rFonts w:ascii="Cambria Math" w:hAnsi="Cambria Math"/>
                  </w:rPr>
                  <m:t xml:space="preserve">1</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Rampa (</w:t>
            </w:r>
            <w:r>
              <w:rPr>
                <w:rStyle w:val="VerbatimChar"/>
                <w:rFonts w:eastAsia="" w:cs=""/>
                <w:kern w:val="0"/>
                <w:sz w:val="17"/>
                <w:szCs w:val="24"/>
                <w:lang w:val="en-US" w:eastAsia="zh-CN" w:bidi="ar-SA"/>
              </w:rPr>
              <w:t>ramp</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
                  <w:rPr>
                    <w:rFonts w:ascii="Cambria Math" w:hAnsi="Cambria Math"/>
                  </w:rPr>
                  <m:t xml:space="preserve">min</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r>
                  <w:rPr>
                    <w:rFonts w:ascii="Cambria Math" w:hAnsi="Cambria Math"/>
                  </w:rPr>
                  <m:t xml:space="preserve">)</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Exponencial (</w:t>
            </w:r>
            <w:r>
              <w:rPr>
                <w:rStyle w:val="VerbatimChar"/>
                <w:rFonts w:eastAsia="" w:cs=""/>
                <w:kern w:val="0"/>
                <w:sz w:val="17"/>
                <w:szCs w:val="24"/>
                <w:lang w:val="en-US" w:eastAsia="zh-CN" w:bidi="ar-SA"/>
              </w:rPr>
              <w:t>exponential</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sup>
                </m:sSup>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Sigmoide (</w:t>
            </w:r>
            <w:r>
              <w:rPr>
                <w:rStyle w:val="VerbatimChar"/>
                <w:rFonts w:eastAsia="" w:cs=""/>
                <w:kern w:val="0"/>
                <w:sz w:val="17"/>
                <w:szCs w:val="24"/>
                <w:lang w:val="en-US" w:eastAsia="zh-CN" w:bidi="ar-SA"/>
              </w:rPr>
              <w:t>sigmoid</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f>
                <m:num>
                  <m:r>
                    <w:rPr>
                      <w:rFonts w:ascii="Cambria Math" w:hAnsi="Cambria Math"/>
                    </w:rPr>
                    <m:t xml:space="preserve">s</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num>
                <m:den>
                  <m:r>
                    <w:rPr>
                      <w:rFonts w:ascii="Cambria Math" w:hAnsi="Cambria Math"/>
                    </w:rPr>
                    <m:t xml:space="preserve">s</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den>
              </m:f>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10</m:t>
                  </m:r>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m:t>
                  </m:r>
                </m:sup>
              </m:sSup>
              <m:sSup>
                <m:e>
                  <m:r>
                    <w:rPr>
                      <w:rFonts w:ascii="Cambria Math" w:hAnsi="Cambria Math"/>
                    </w:rPr>
                    <m:t xml:space="preserve">)</m:t>
                  </m:r>
                </m:e>
                <m:sup>
                  <m:r>
                    <w:rPr>
                      <w:rFonts w:ascii="Cambria Math" w:hAnsi="Cambria Math"/>
                    </w:rPr>
                    <m:t xml:space="preserve">−</m:t>
                  </m:r>
                  <m:r>
                    <w:rPr>
                      <w:rFonts w:ascii="Cambria Math" w:hAnsi="Cambria Math"/>
                    </w:rPr>
                    <m:t xml:space="preserve">1</m:t>
                  </m:r>
                </m:sup>
              </m:sSup>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1</m:t>
              </m:r>
            </m:oMath>
            <w:r>
              <w:rPr>
                <w:rFonts w:eastAsia="" w:cs=""/>
                <w:kern w:val="0"/>
                <w:sz w:val="17"/>
                <w:szCs w:val="24"/>
                <w:lang w:val="en-US" w:eastAsia="zh-CN" w:bidi="ar-SA"/>
              </w:rPr>
              <w:t xml:space="preserve"> si </w:t>
            </w:r>
            <w:r>
              <w:rPr>
                <w:rFonts w:eastAsia="" w:cs=""/>
                <w:kern w:val="0"/>
                <w:szCs w:val="24"/>
                <w:lang w:val="en-US" w:eastAsia="zh-CN" w:bidi="ar-SA"/>
              </w:rPr>
            </w:r>
            <m:oMath xmlns:m="http://schemas.openxmlformats.org/officeDocument/2006/math">
              <m:r>
                <w:rPr>
                  <w:rFonts w:ascii="Cambria Math" w:hAnsi="Cambria Math"/>
                </w:rPr>
                <m:t xml:space="preserve">τ</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oMath>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Sinusoidal (</w:t>
            </w:r>
            <w:r>
              <w:rPr>
                <w:rStyle w:val="VerbatimChar"/>
                <w:rFonts w:eastAsia="" w:cs=""/>
                <w:kern w:val="0"/>
                <w:sz w:val="17"/>
                <w:szCs w:val="24"/>
                <w:lang w:val="en-US" w:eastAsia="zh-CN" w:bidi="ar-SA"/>
              </w:rPr>
              <w:t>sinusoidal</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f>
                  <m:fPr>
                    <m:type m:val="lin"/>
                  </m:fPr>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cos</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r>
                              <w:rPr>
                                <w:rFonts w:ascii="Cambria Math" w:hAnsi="Cambria Math"/>
                              </w:rPr>
                              <m:t xml:space="preserve">τ</m:t>
                            </m:r>
                          </m:num>
                          <m:den>
                            <m:r>
                              <w:rPr>
                                <w:rFonts w:ascii="Cambria Math" w:hAnsi="Cambria Math"/>
                              </w:rPr>
                              <m:t xml:space="preserve">P</m:t>
                            </m:r>
                          </m:den>
                        </m:f>
                        <m:r>
                          <w:rPr>
                            <w:rFonts w:ascii="Cambria Math" w:hAnsi="Cambria Math"/>
                          </w:rPr>
                          <m:t xml:space="preserve">)</m:t>
                        </m:r>
                      </m:e>
                    </m:d>
                  </m:num>
                  <m:den>
                    <m:r>
                      <w:rPr>
                        <w:rFonts w:ascii="Cambria Math" w:hAnsi="Cambria Math"/>
                      </w:rPr>
                      <m:t xml:space="preserve">2</m:t>
                    </m:r>
                  </m:den>
                </m:f>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Caminata aleatoria (</w:t>
            </w:r>
            <w:r>
              <w:rPr>
                <w:rStyle w:val="VerbatimChar"/>
                <w:rFonts w:eastAsia="" w:cs=""/>
                <w:kern w:val="0"/>
                <w:sz w:val="17"/>
                <w:szCs w:val="24"/>
                <w:lang w:val="en-US" w:eastAsia="zh-CN" w:bidi="ar-SA"/>
              </w:rPr>
              <w:t>random_walk</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o</m:t>
                    </m:r>
                  </m:e>
                  <m:sub>
                    <m:r>
                      <w:rPr>
                        <w:rFonts w:ascii="Cambria Math" w:hAnsi="Cambria Math"/>
                      </w:rPr>
                      <m:t xml:space="preserve">k</m:t>
                    </m:r>
                  </m:sub>
                </m:sSub>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r>
                  <w:rPr>
                    <w:rFonts w:ascii="Cambria Math" w:hAnsi="Cambria Math"/>
                  </w:rPr>
                  <m:t xml:space="preserve">(</m:t>
                </m:r>
                <m:sSub>
                  <m:e>
                    <m:r>
                      <w:rPr>
                        <w:rFonts w:ascii="Cambria Math" w:hAnsi="Cambria Math"/>
                      </w:rPr>
                      <m:t xml:space="preserve">o</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r</m:t>
                    </m:r>
                    <m:r>
                      <w:rPr>
                        <w:rFonts w:ascii="Cambria Math" w:hAnsi="Cambria Math"/>
                      </w:rPr>
                      <m:t xml:space="preserve">w</m:t>
                    </m:r>
                  </m:sub>
                </m:sSub>
                <m:rad>
                  <m:radPr>
                    <m:degHide m:val="1"/>
                  </m:radPr>
                  <m:deg/>
                  <m:e>
                    <m:sSub>
                      <m:e>
                        <m:r>
                          <w:rPr>
                            <w:rFonts w:ascii="Cambria Math" w:hAnsi="Cambria Math"/>
                          </w:rPr>
                          <m:t xml:space="preserve">T</m:t>
                        </m:r>
                      </m:e>
                      <m:sub>
                        <m:r>
                          <w:rPr>
                            <w:rFonts w:ascii="Cambria Math" w:hAnsi="Cambria Math"/>
                          </w:rPr>
                          <m:t xml:space="preserve">s</m:t>
                        </m:r>
                      </m:sub>
                    </m:sSub>
                  </m:e>
                </m:rad>
                <m:sSub>
                  <m:e>
                    <m:r>
                      <w:rPr>
                        <w:rFonts w:ascii="Cambria Math" w:hAnsi="Cambria Math"/>
                      </w:rPr>
                      <m:t xml:space="preserve">η</m:t>
                    </m:r>
                  </m:e>
                  <m:sub>
                    <m:r>
                      <w:rPr>
                        <w:rFonts w:ascii="Cambria Math" w:hAnsi="Cambria Math"/>
                      </w:rPr>
                      <m:t xml:space="preserve">k</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Intermitente (</w:t>
            </w:r>
            <w:r>
              <w:rPr>
                <w:rStyle w:val="VerbatimChar"/>
                <w:rFonts w:eastAsia="" w:cs=""/>
                <w:kern w:val="0"/>
                <w:sz w:val="17"/>
                <w:szCs w:val="24"/>
                <w:lang w:val="en-US" w:eastAsia="zh-CN" w:bidi="ar-SA"/>
              </w:rPr>
              <w:t>intermittent</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cadena de Markov encendido/apagado con duraciones medias dadas</w:t>
            </w:r>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Recuperación (</w:t>
            </w:r>
            <w:r>
              <w:rPr>
                <w:rStyle w:val="VerbatimChar"/>
                <w:rFonts w:eastAsia="" w:cs=""/>
                <w:kern w:val="0"/>
                <w:sz w:val="17"/>
                <w:szCs w:val="24"/>
                <w:lang w:val="en-US" w:eastAsia="zh-CN" w:bidi="ar-SA"/>
              </w:rPr>
              <w:t>recovery</w:t>
            </w:r>
            <w:r>
              <w:rPr>
                <w:rFonts w:eastAsia="" w:cs=""/>
                <w:kern w:val="0"/>
                <w:sz w:val="17"/>
                <w:szCs w:val="24"/>
                <w:lang w:val="en-US"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escalón (o rampa) que exige instante de recuperación</w:t>
            </w:r>
          </w:p>
        </w:tc>
      </w:tr>
    </w:tbl>
    <w:p>
      <w:pPr>
        <w:pStyle w:val="BodyText"/>
        <w:rPr/>
      </w:pPr>
      <w:r>
        <w:rPr/>
        <w:t xml:space="preserve">La envolvente de recuperación, con instante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y duración </w:t>
      </w:r>
      <w:r>
        <w:rPr/>
      </w:r>
      <m:oMath xmlns:m="http://schemas.openxmlformats.org/officeDocument/2006/math">
        <m:sSub>
          <m:e>
            <m:r>
              <w:rPr>
                <w:rFonts w:ascii="Cambria Math" w:hAnsi="Cambria Math"/>
              </w:rPr>
              <m:t xml:space="preserve">D</m:t>
            </m:r>
          </m:e>
          <m:sub>
            <m:r>
              <w:rPr>
                <w:rFonts w:ascii="Cambria Math" w:hAnsi="Cambria Math"/>
              </w:rPr>
              <m:t xml:space="preserve">r</m:t>
            </m:r>
          </m:sub>
        </m:sSub>
      </m:oMath>
      <w:r>
        <w:rPr/>
        <w:t xml:space="preserve">, es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para </w:t>
      </w:r>
      <w:r>
        <w:rPr/>
      </w:r>
      <m:oMath xmlns:m="http://schemas.openxmlformats.org/officeDocument/2006/math">
        <m:r>
          <w:rPr>
            <w:rFonts w:ascii="Cambria Math" w:hAnsi="Cambria Math"/>
          </w:rPr>
          <m:t xml:space="preserve">t</m:t>
        </m:r>
        <m:r>
          <w:rPr>
            <w:rFonts w:ascii="Cambria Math" w:hAnsi="Cambria Math"/>
          </w:rPr>
          <m:t xml:space="preserve">&lt;</m:t>
        </m:r>
        <m:sSub>
          <m:e>
            <m:r>
              <w:rPr>
                <w:rFonts w:ascii="Cambria Math" w:hAnsi="Cambria Math"/>
              </w:rPr>
              <m:t xml:space="preserve">t</m:t>
            </m:r>
          </m:e>
          <m:sub>
            <m:r>
              <w:rPr>
                <w:rFonts w:ascii="Cambria Math" w:hAnsi="Cambria Math"/>
              </w:rPr>
              <m:t xml:space="preserve">r</m:t>
            </m:r>
          </m:sub>
        </m:sSub>
      </m:oMath>
      <w:r>
        <w:rPr/>
        <w:t xml:space="preserve"> y, para </w:t>
      </w:r>
      <w:r>
        <w:rPr/>
      </w:r>
      <m:oMath xmlns:m="http://schemas.openxmlformats.org/officeDocument/2006/math">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oMath>
      <w:r>
        <w:rPr/>
        <w:t xml:space="preserve">, lineal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f>
              <m:fPr>
                <m:type m:val="lin"/>
              </m:fPr>
              <m:num>
                <m:r>
                  <w:rPr>
                    <w:rFonts w:ascii="Cambria Math" w:hAnsi="Cambria Math"/>
                  </w:rPr>
                  <m:t xml:space="preserve">)</m:t>
                </m:r>
              </m:num>
              <m:den>
                <m:sSub>
                  <m:e>
                    <m:r>
                      <w:rPr>
                        <w:rFonts w:ascii="Cambria Math" w:hAnsi="Cambria Math"/>
                      </w:rPr>
                      <m:t xml:space="preserve">D</m:t>
                    </m:r>
                  </m:e>
                  <m:sub>
                    <m:r>
                      <w:rPr>
                        <w:rFonts w:ascii="Cambria Math" w:hAnsi="Cambria Math"/>
                      </w:rPr>
                      <m:t xml:space="preserve">r</m:t>
                    </m:r>
                  </m:sub>
                </m:sSub>
              </m:den>
            </m:f>
          </m:e>
        </m:d>
      </m:oMath>
      <w:r>
        <w:rPr/>
        <w:t xml:space="preserve"> (con </w:t>
      </w:r>
      <w:r>
        <w:rPr/>
      </w:r>
      <m:oMath xmlns:m="http://schemas.openxmlformats.org/officeDocument/2006/math">
        <m:sSub>
          <m:e>
            <m:r>
              <w:rPr>
                <w:rFonts w:ascii="Cambria Math" w:hAnsi="Cambria Math"/>
              </w:rPr>
              <m:t xml:space="preserve">D</m:t>
            </m:r>
          </m:e>
          <m:sub>
            <m:r>
              <w:rPr>
                <w:rFonts w:ascii="Cambria Math" w:hAnsi="Cambria Math"/>
              </w:rPr>
              <m:t xml:space="preserve">r</m:t>
            </m:r>
          </m:sub>
        </m:sSub>
        <m:r>
          <w:rPr>
            <w:rFonts w:ascii="Cambria Math" w:hAnsi="Cambria Math"/>
          </w:rPr>
          <m:t xml:space="preserve">=</m:t>
        </m:r>
        <m:r>
          <w:rPr>
            <w:rFonts w:ascii="Cambria Math" w:hAnsi="Cambria Math"/>
          </w:rPr>
          <m:t xml:space="preserve">0</m:t>
        </m:r>
      </m:oMath>
      <w:r>
        <w:rPr/>
        <w:t xml:space="preserve"> el fallo termina abruptamente) o exponencial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f>
              <m:fPr>
                <m:type m:val="lin"/>
              </m:fPr>
              <m:num>
                <m:r>
                  <w:rPr>
                    <w:rFonts w:ascii="Cambria Math" w:hAnsi="Cambria Math"/>
                  </w:rPr>
                  <m:t xml:space="preserve">)</m:t>
                </m:r>
              </m:num>
              <m:den>
                <m:sSub>
                  <m:e>
                    <m:r>
                      <w:rPr>
                        <w:rFonts w:ascii="Cambria Math" w:hAnsi="Cambria Math"/>
                      </w:rPr>
                      <m:t xml:space="preserve">D</m:t>
                    </m:r>
                  </m:e>
                  <m:sub>
                    <m:r>
                      <w:rPr>
                        <w:rFonts w:ascii="Cambria Math" w:hAnsi="Cambria Math"/>
                      </w:rPr>
                      <m:t xml:space="preserve">r</m:t>
                    </m:r>
                  </m:sub>
                </m:sSub>
              </m:den>
            </m:f>
          </m:sup>
        </m:sSup>
      </m:oMath>
      <w:r>
        <w:rPr/>
        <w:t xml:space="preserve">. El parámetro </w:t>
      </w:r>
      <w:r>
        <w:rPr>
          <w:rStyle w:val="VerbatimChar"/>
        </w:rPr>
        <w:t>duration</w:t>
      </w:r>
      <w:r>
        <w:rPr/>
        <w:t xml:space="preserve"> equivale a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m:rPr>
            <m:lit/>
            <m:nor/>
          </m:rPr>
          <w:rPr>
            <w:rFonts w:ascii="Cambria Math" w:hAnsi="Cambria Math"/>
          </w:rPr>
          <m:t xml:space="preserve">duration</m:t>
        </m:r>
      </m:oMath>
      <w:r>
        <w:rPr/>
        <w:t>. Así el usuario controla el instante inicial, la duración, la severidad, la velocidad de degradación, el instante de recuperación y la velocidad de recuperación.</w:t>
      </w:r>
      <w:bookmarkEnd w:id="55"/>
    </w:p>
    <w:p>
      <w:pPr>
        <w:pStyle w:val="Heading2"/>
        <w:rPr/>
      </w:pPr>
      <w:bookmarkStart w:id="56" w:name="__RefHeading___Toc11040_1564873447"/>
      <w:bookmarkStart w:id="57" w:name="tipos-de-degradación"/>
      <w:bookmarkEnd w:id="56"/>
      <w:r>
        <w:rPr/>
        <w:t>8.2 Tipos de degradación</w:t>
      </w:r>
    </w:p>
    <w:p>
      <w:pPr>
        <w:pStyle w:val="FirstParagraph"/>
        <w:rPr/>
      </w:pPr>
      <w:r>
        <w:rPr/>
        <w:t xml:space="preserve">Con severidad </w:t>
      </w:r>
      <w:r>
        <w:rPr/>
      </w:r>
      <m:oMath xmlns:m="http://schemas.openxmlformats.org/officeDocument/2006/math">
        <m:r>
          <w:rPr>
            <w:rFonts w:ascii="Cambria Math" w:hAnsi="Cambria Math"/>
          </w:rPr>
          <m:t xml:space="preserve">s</m:t>
        </m:r>
      </m:oMath>
      <w:r>
        <w:rPr/>
        <w:t xml:space="preserve">, tiempo desde el inicio </w:t>
      </w:r>
      <w:r>
        <w:rPr/>
      </w:r>
      <m:oMath xmlns:m="http://schemas.openxmlformats.org/officeDocument/2006/math">
        <m:sSub>
          <m:e>
            <m:r>
              <w:rPr>
                <w:rFonts w:ascii="Cambria Math" w:hAnsi="Cambria Math"/>
              </w:rPr>
              <m:t xml:space="preserve">τ</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oMath>
      <w:r>
        <w:rPr/>
        <w:t xml:space="preserve"> y periodo base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t xml:space="preserve"> (</w:t>
      </w:r>
      <w:r>
        <w:rPr>
          <w:rStyle w:val="VerbatimChar"/>
        </w:rPr>
        <w:t>degradation/faults.py</w:t>
      </w:r>
      <w:r>
        <w:rPr/>
        <w: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090"/>
        <w:gridCol w:w="2617"/>
        <w:gridCol w:w="3925"/>
      </w:tblGrid>
      <w:tr>
        <w:trPr>
          <w:tblHeader w:val="true"/>
        </w:trPr>
        <w:tc>
          <w:tcPr>
            <w:tcW w:w="309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Tipo</w:t>
            </w:r>
          </w:p>
        </w:tc>
        <w:tc>
          <w:tcPr>
            <w:tcW w:w="261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Etapa</w:t>
            </w:r>
          </w:p>
        </w:tc>
        <w:tc>
          <w:tcPr>
            <w:tcW w:w="392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Efecto</w:t>
            </w:r>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bias</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m:oMathPara>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progressive_bias</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s</m:t>
              </m:r>
              <m:sSub>
                <m:e>
                  <m:r>
                    <w:rPr>
                      <w:rFonts w:ascii="Cambria Math" w:hAnsi="Cambria Math"/>
                    </w:rPr>
                    <m:t xml:space="preserve">τ</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oMath>
            <w:r>
              <w:rPr>
                <w:rFonts w:eastAsia="" w:cs=""/>
                <w:kern w:val="0"/>
                <w:sz w:val="17"/>
                <w:szCs w:val="24"/>
                <w:lang w:val="en-US" w:eastAsia="zh-CN" w:bidi="ar-SA"/>
              </w:rPr>
              <w:t xml:space="preserve"> </w:t>
            </w:r>
            <w:r>
              <w:rPr>
                <w:rFonts w:eastAsia="" w:cs=""/>
                <w:kern w:val="0"/>
                <w:sz w:val="17"/>
                <w:szCs w:val="24"/>
                <w:lang w:val="en-US" w:eastAsia="zh-CN" w:bidi="ar-SA"/>
              </w:rPr>
              <w:t>(</w:t>
            </w:r>
            <w:r>
              <w:rPr>
                <w:rFonts w:eastAsia="" w:cs=""/>
                <w:kern w:val="0"/>
                <w:szCs w:val="24"/>
                <w:lang w:val="en-US" w:eastAsia="zh-CN" w:bidi="ar-SA"/>
              </w:rPr>
            </w:r>
            <m:oMath xmlns:m="http://schemas.openxmlformats.org/officeDocument/2006/math">
              <m:r>
                <w:rPr>
                  <w:rFonts w:ascii="Cambria Math" w:hAnsi="Cambria Math"/>
                </w:rPr>
                <m:t xml:space="preserve">s</m:t>
              </m:r>
            </m:oMath>
            <w:r>
              <w:rPr>
                <w:rFonts w:eastAsia="" w:cs=""/>
                <w:kern w:val="0"/>
                <w:sz w:val="17"/>
                <w:szCs w:val="24"/>
                <w:lang w:val="en-US" w:eastAsia="zh-CN" w:bidi="ar-SA"/>
              </w:rPr>
              <w:t xml:space="preserve"> = tasa)</w:t>
            </w:r>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drift</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m:t>
              </m:r>
              <m:sSub>
                <m:e>
                  <m:r>
                    <w:rPr>
                      <w:rFonts w:ascii="Cambria Math" w:hAnsi="Cambria Math"/>
                    </w:rPr>
                    <m:t xml:space="preserve">T</m:t>
                  </m:r>
                </m:e>
                <m:sub>
                  <m:r>
                    <w:rPr>
                      <w:rFonts w:ascii="Cambria Math" w:hAnsi="Cambria Math"/>
                    </w:rPr>
                    <m:t xml:space="preserve">s</m:t>
                  </m:r>
                </m:sub>
              </m:sSub>
              <m:sSub>
                <m:e>
                  <m:r>
                    <w:rPr>
                      <w:rFonts w:ascii="Cambria Math" w:hAnsi="Cambria Math"/>
                    </w:rPr>
                    <m:t xml:space="preserve">g</m:t>
                  </m:r>
                </m:e>
                <m:sub>
                  <m:r>
                    <w:rPr>
                      <w:rFonts w:ascii="Cambria Math" w:hAnsi="Cambria Math"/>
                    </w:rPr>
                    <m:t xml:space="preserve">k</m:t>
                  </m:r>
                </m:sub>
              </m:sSub>
            </m:oMath>
            <w:r>
              <w:rPr>
                <w:rFonts w:eastAsia="" w:cs=""/>
                <w:kern w:val="0"/>
                <w:sz w:val="17"/>
                <w:szCs w:val="24"/>
                <w:lang w:val="en-US" w:eastAsia="zh-CN" w:bidi="ar-SA"/>
              </w:rPr>
              <w:t xml:space="preserve"> </w:t>
            </w:r>
            <w:r>
              <w:rPr>
                <w:rFonts w:eastAsia="" w:cs=""/>
                <w:kern w:val="0"/>
                <w:sz w:val="17"/>
                <w:szCs w:val="24"/>
                <w:lang w:val="en-US" w:eastAsia="zh-CN" w:bidi="ar-SA"/>
              </w:rPr>
              <w:t>(acumulativa, persiste tras la recuperación)</w:t>
            </w:r>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random_walk_drift</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m:t>
                </m:r>
                <m:rad>
                  <m:radPr>
                    <m:degHide m:val="1"/>
                  </m:radPr>
                  <m:deg/>
                  <m:e>
                    <m:sSub>
                      <m:e>
                        <m:r>
                          <w:rPr>
                            <w:rFonts w:ascii="Cambria Math" w:hAnsi="Cambria Math"/>
                          </w:rPr>
                          <m:t xml:space="preserve">T</m:t>
                        </m:r>
                      </m:e>
                      <m:sub>
                        <m:r>
                          <w:rPr>
                            <w:rFonts w:ascii="Cambria Math" w:hAnsi="Cambria Math"/>
                          </w:rPr>
                          <m:t xml:space="preserve">s</m:t>
                        </m:r>
                      </m:sub>
                    </m:sSub>
                  </m:e>
                </m:rad>
                <m:sSub>
                  <m:e>
                    <m:r>
                      <w:rPr>
                        <w:rFonts w:ascii="Cambria Math" w:hAnsi="Cambria Math"/>
                      </w:rPr>
                      <m:t xml:space="preserve">η</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oMath>
            </m:oMathPara>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periodic</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τ</m:t>
                        </m:r>
                      </m:e>
                      <m:sub>
                        <m:r>
                          <w:rPr>
                            <w:rFonts w:ascii="Cambria Math" w:hAnsi="Cambria Math"/>
                          </w:rPr>
                          <m:t xml:space="preserve">k</m:t>
                        </m:r>
                      </m:sub>
                    </m:sSub>
                  </m:num>
                  <m:den>
                    <m:r>
                      <w:rPr>
                        <w:rFonts w:ascii="Cambria Math" w:hAnsi="Cambria Math"/>
                      </w:rPr>
                      <m:t xml:space="preserve">P</m:t>
                    </m:r>
                  </m:den>
                </m:f>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oMath>
            </m:oMathPara>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intermittent</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aditiva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sSub>
                <m:e>
                  <m:r>
                    <w:rPr>
                      <w:rFonts w:ascii="Cambria Math" w:hAnsi="Cambria Math"/>
                    </w:rPr>
                    <m:t xml:space="preserve">c</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sSub>
                <m:e>
                  <m:r>
                    <w:rPr>
                      <w:rFonts w:ascii="Cambria Math" w:hAnsi="Cambria Math"/>
                    </w:rPr>
                    <m:t xml:space="preserve">c</m:t>
                  </m:r>
                </m:e>
                <m:sub>
                  <m:r>
                    <w:rPr>
                      <w:rFonts w:ascii="Cambria Math" w:hAnsi="Cambria Math"/>
                    </w:rPr>
                    <m:t xml:space="preserve">k</m:t>
                  </m:r>
                </m:sub>
              </m:sSub>
            </m:oMath>
            <w:r>
              <w:rPr>
                <w:rFonts w:eastAsia="" w:cs=""/>
                <w:kern w:val="0"/>
                <w:sz w:val="17"/>
                <w:szCs w:val="24"/>
                <w:lang w:val="en-US" w:eastAsia="zh-CN" w:bidi="ar-SA"/>
              </w:rPr>
              <w:t xml:space="preserve"> cadena de Markov</w:t>
            </w:r>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variance_increase</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ruido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e>
              </m:d>
            </m:oMath>
            <w:r>
              <w:rPr>
                <w:rFonts w:eastAsia="" w:cs=""/>
                <w:kern w:val="0"/>
                <w:sz w:val="17"/>
                <w:szCs w:val="24"/>
                <w:lang w:val="en-US" w:eastAsia="zh-CN" w:bidi="ar-SA"/>
              </w:rPr>
              <w:t xml:space="preserve"> </w:t>
            </w:r>
            <w:r>
              <w:rPr>
                <w:rFonts w:eastAsia="" w:cs=""/>
                <w:kern w:val="0"/>
                <w:sz w:val="17"/>
                <w:szCs w:val="24"/>
                <w:lang w:val="en-US" w:eastAsia="zh-CN" w:bidi="ar-SA"/>
              </w:rPr>
              <w:t>(</w:t>
            </w:r>
            <w:r>
              <w:rPr>
                <w:rFonts w:eastAsia="" w:cs=""/>
                <w:kern w:val="0"/>
                <w:szCs w:val="24"/>
                <w:lang w:val="en-US" w:eastAsia="zh-CN" w:bidi="ar-SA"/>
              </w:rPr>
            </w:r>
            <m:oMath xmlns:m="http://schemas.openxmlformats.org/officeDocument/2006/math">
              <m:r>
                <w:rPr>
                  <w:rFonts w:ascii="Cambria Math" w:hAnsi="Cambria Math"/>
                </w:rPr>
                <m:t xml:space="preserve">s</m:t>
              </m:r>
            </m:oMath>
            <w:r>
              <w:rPr>
                <w:rFonts w:eastAsia="" w:cs=""/>
                <w:kern w:val="0"/>
                <w:sz w:val="17"/>
                <w:szCs w:val="24"/>
                <w:lang w:val="en-US" w:eastAsia="zh-CN" w:bidi="ar-SA"/>
              </w:rPr>
              <w:t xml:space="preserve"> = factor final)</w:t>
            </w:r>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burst_fault</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ruido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ráfagas de Poisson de ruido </w:t>
            </w:r>
            <w:r>
              <w:rPr>
                <w:rFonts w:eastAsia="" w:cs=""/>
                <w:kern w:val="0"/>
                <w:szCs w:val="24"/>
                <w:lang w:val="en-US" w:eastAsia="zh-CN"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outliers</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ruido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rFonts w:eastAsia="" w:cs=""/>
                <w:kern w:val="0"/>
                <w:sz w:val="17"/>
                <w:szCs w:val="24"/>
                <w:lang w:val="en-US" w:eastAsia="zh-CN" w:bidi="ar-SA"/>
              </w:rPr>
              <w:t xml:space="preserve"> </w:t>
            </w:r>
            <w:r>
              <w:rPr>
                <w:rFonts w:eastAsia="" w:cs=""/>
                <w:kern w:val="0"/>
                <w:sz w:val="17"/>
                <w:szCs w:val="24"/>
                <w:lang w:val="en-US" w:eastAsia="zh-CN" w:bidi="ar-SA"/>
              </w:rPr>
              <w:t xml:space="preserve">con probabilidad </w:t>
            </w:r>
            <w:r>
              <w:rPr>
                <w:rFonts w:eastAsia="" w:cs=""/>
                <w:kern w:val="0"/>
                <w:szCs w:val="24"/>
                <w:lang w:val="en-US" w:eastAsia="zh-CN" w:bidi="ar-SA"/>
              </w:rPr>
            </w:r>
            <m:oMath xmlns:m="http://schemas.openxmlformats.org/officeDocument/2006/math">
              <m:r>
                <w:rPr>
                  <w:rFonts w:ascii="Cambria Math" w:hAnsi="Cambria Math"/>
                </w:rPr>
                <m:t xml:space="preserve">p</m:t>
              </m:r>
              <m:sSub>
                <m:e>
                  <m:r>
                    <w:rPr>
                      <w:rFonts w:ascii="Cambria Math" w:hAnsi="Cambria Math"/>
                    </w:rPr>
                    <m:t xml:space="preserve">g</m:t>
                  </m:r>
                </m:e>
                <m:sub>
                  <m:r>
                    <w:rPr>
                      <w:rFonts w:ascii="Cambria Math" w:hAnsi="Cambria Math"/>
                    </w:rPr>
                    <m:t xml:space="preserve">k</m:t>
                  </m:r>
                </m:sub>
              </m:sSub>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sensitivity_loss</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multiplicativa</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m:oMathPara>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saturation</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posproceso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u</m:t>
              </m:r>
              <m:r>
                <w:rPr>
                  <w:rFonts w:ascii="Cambria Math" w:hAnsi="Cambria Math"/>
                </w:rPr>
                <m:t xml:space="preserve">)</m:t>
              </m:r>
            </m:oMath>
            <w:r>
              <w:rPr>
                <w:rFonts w:eastAsia="" w:cs=""/>
                <w:kern w:val="0"/>
                <w:sz w:val="17"/>
                <w:szCs w:val="24"/>
                <w:lang w:val="en-US" w:eastAsia="zh-CN" w:bidi="ar-SA"/>
              </w:rPr>
              <w:t xml:space="preserve"> </w:t>
            </w:r>
            <w:r>
              <w:rPr>
                <w:rFonts w:eastAsia="" w:cs=""/>
                <w:kern w:val="0"/>
                <w:sz w:val="17"/>
                <w:szCs w:val="24"/>
                <w:lang w:val="en-US" w:eastAsia="zh-CN" w:bidi="ar-SA"/>
              </w:rPr>
              <w:t xml:space="preserve">mientras </w:t>
            </w:r>
            <w:r>
              <w:rPr>
                <w:rFonts w:eastAsia="" w:cs=""/>
                <w:kern w:val="0"/>
                <w:szCs w:val="24"/>
                <w:lang w:val="en-US"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quantization</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posproceso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s</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r>
                    <w:rPr>
                      <w:rFonts w:ascii="Cambria Math" w:hAnsi="Cambria Math"/>
                    </w:rPr>
                    <m:t xml:space="preserve">z</m:t>
                  </m:r>
                </m:num>
                <m:den>
                  <m:r>
                    <w:rPr>
                      <w:rFonts w:ascii="Cambria Math" w:hAnsi="Cambria Math"/>
                    </w:rPr>
                    <m:t xml:space="preserve">s</m:t>
                  </m:r>
                </m:den>
              </m:f>
              <m:r>
                <w:rPr>
                  <w:rFonts w:ascii="Cambria Math" w:hAnsi="Cambria Math"/>
                </w:rPr>
                <m:t xml:space="preserve">)</m:t>
              </m:r>
            </m:oMath>
            <w:r>
              <w:rPr>
                <w:rFonts w:eastAsia="" w:cs=""/>
                <w:kern w:val="0"/>
                <w:sz w:val="17"/>
                <w:szCs w:val="24"/>
                <w:lang w:val="en-US" w:eastAsia="zh-CN" w:bidi="ar-SA"/>
              </w:rPr>
              <w:t xml:space="preserve"> </w:t>
            </w:r>
            <w:r>
              <w:rPr>
                <w:rFonts w:eastAsia="" w:cs=""/>
                <w:kern w:val="0"/>
                <w:sz w:val="17"/>
                <w:szCs w:val="24"/>
                <w:lang w:val="en-US" w:eastAsia="zh-CN" w:bidi="ar-SA"/>
              </w:rPr>
              <w:t xml:space="preserve">mientras </w:t>
            </w:r>
            <w:r>
              <w:rPr>
                <w:rFonts w:eastAsia="" w:cs=""/>
                <w:kern w:val="0"/>
                <w:szCs w:val="24"/>
                <w:lang w:val="en-US"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stuck</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posproceso</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sSub>
                    <m:e>
                      <m:r>
                        <w:rPr>
                          <w:rFonts w:ascii="Cambria Math" w:hAnsi="Cambria Math"/>
                        </w:rPr>
                        <m:t xml:space="preserve">k</m:t>
                      </m:r>
                    </m:e>
                    <m:sub>
                      <m:r>
                        <w:rPr>
                          <w:rFonts w:ascii="Cambria Math" w:hAnsi="Cambria Math"/>
                        </w:rPr>
                        <m:t xml:space="preserve">f</m:t>
                      </m:r>
                    </m:sub>
                  </m:sSub>
                </m:sub>
              </m:sSub>
            </m:oMath>
            <w:r>
              <w:rPr>
                <w:rFonts w:eastAsia="" w:cs=""/>
                <w:kern w:val="0"/>
                <w:sz w:val="17"/>
                <w:szCs w:val="24"/>
                <w:lang w:val="en-US" w:eastAsia="zh-CN" w:bidi="ar-SA"/>
              </w:rPr>
              <w:t xml:space="preserve"> </w:t>
            </w:r>
            <w:r>
              <w:rPr>
                <w:rFonts w:eastAsia="" w:cs=""/>
                <w:kern w:val="0"/>
                <w:sz w:val="17"/>
                <w:szCs w:val="24"/>
                <w:lang w:val="en-US" w:eastAsia="zh-CN" w:bidi="ar-SA"/>
              </w:rPr>
              <w:t xml:space="preserve">mientras </w:t>
            </w:r>
            <w:r>
              <w:rPr>
                <w:rFonts w:eastAsia="" w:cs=""/>
                <w:kern w:val="0"/>
                <w:szCs w:val="24"/>
                <w:lang w:val="en-US"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dropout</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disponibilidad</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muestra perdida con probabilidad </w:t>
            </w:r>
            <w:r>
              <w:rPr>
                <w:rFonts w:eastAsia="" w:cs=""/>
                <w:kern w:val="0"/>
                <w:szCs w:val="24"/>
                <w:lang w:val="en-US" w:eastAsia="zh-CN" w:bidi="ar-SA"/>
              </w:rPr>
            </w:r>
            <m:oMath xmlns:m="http://schemas.openxmlformats.org/officeDocument/2006/math">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w:p>
        </w:tc>
      </w:tr>
      <w:tr>
        <w:trPr/>
        <w:tc>
          <w:tcPr>
            <w:tcW w:w="30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packet_loss</w:t>
            </w:r>
          </w:p>
        </w:tc>
        <w:tc>
          <w:tcPr>
            <w:tcW w:w="261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disponibilidad</w:t>
            </w:r>
          </w:p>
        </w:tc>
        <w:tc>
          <w:tcPr>
            <w:tcW w:w="392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pérdidas en ráfaga de Gilbert–Elliott, </w:t>
            </w:r>
            <w:r>
              <w:rPr>
                <w:rFonts w:eastAsia="" w:cs=""/>
                <w:kern w:val="0"/>
                <w:szCs w:val="24"/>
                <w:lang w:val="en-US" w:eastAsia="zh-CN" w:bidi="ar-SA"/>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bueno</m:t>
              </m:r>
              <m:r>
                <w:rPr>
                  <w:rFonts w:ascii="Cambria Math" w:hAnsi="Cambria Math"/>
                </w:rPr>
                <m:t xml:space="preserve">→</m:t>
              </m:r>
              <m:r>
                <m:rPr>
                  <m:lit/>
                  <m:nor/>
                </m:rPr>
                <w:rPr>
                  <w:rFonts w:ascii="Cambria Math" w:hAnsi="Cambria Math"/>
                </w:rPr>
                <m:t xml:space="preserve">malo</m:t>
              </m:r>
              <m:r>
                <w:rPr>
                  <w:rFonts w:ascii="Cambria Math" w:hAnsi="Cambria Math"/>
                </w:rPr>
                <m:t xml:space="preserve">)</m:t>
              </m:r>
              <m:r>
                <w:rPr>
                  <w:rFonts w:ascii="Cambria Math" w:hAnsi="Cambria Math"/>
                </w:rPr>
                <m:t xml:space="preserve">=</m:t>
              </m:r>
              <m:r>
                <w:rPr>
                  <w:rFonts w:ascii="Cambria Math" w:hAnsi="Cambria Math"/>
                </w:rPr>
                <m:t xml:space="preserve">s</m:t>
              </m:r>
            </m:oMath>
            <w:r>
              <w:rPr>
                <w:rFonts w:eastAsia="" w:cs=""/>
                <w:kern w:val="0"/>
                <w:sz w:val="17"/>
                <w:szCs w:val="24"/>
                <w:lang w:val="en-US" w:eastAsia="zh-CN" w:bidi="ar-SA"/>
              </w:rPr>
              <w:t xml:space="preserve">, longitud media </w:t>
            </w:r>
            <w:r>
              <w:rPr>
                <w:rFonts w:eastAsia="" w:cs=""/>
                <w:kern w:val="0"/>
                <w:szCs w:val="24"/>
                <w:lang w:val="en-US" w:eastAsia="zh-CN" w:bidi="ar-SA"/>
              </w:rPr>
            </w:r>
            <m:oMath xmlns:m="http://schemas.openxmlformats.org/officeDocument/2006/math">
              <m:r>
                <w:rPr>
                  <w:rFonts w:ascii="Cambria Math" w:hAnsi="Cambria Math"/>
                </w:rPr>
                <m:t xml:space="preserve">L</m:t>
              </m:r>
            </m:oMath>
          </w:p>
        </w:tc>
      </w:tr>
    </w:tbl>
    <w:p>
      <w:pPr>
        <w:pStyle w:val="BodyText"/>
        <w:rPr/>
      </w:pPr>
      <w:r>
        <w:rPr/>
        <w:t xml:space="preserve">Con el perfil rampa, </w:t>
      </w:r>
      <w:r>
        <w:rPr>
          <w:rStyle w:val="VerbatimChar"/>
        </w:rPr>
        <w:t>progressive_bias</w:t>
      </w:r>
      <w:r>
        <w:rPr/>
        <w:t xml:space="preserve"> y </w:t>
      </w:r>
      <w:r>
        <w:rPr>
          <w:rStyle w:val="VerbatimChar"/>
        </w:rPr>
        <w:t>variance_increase</w:t>
      </w:r>
      <w:r>
        <w:rPr/>
        <w:t xml:space="preserve"> reproducen exactamente </w:t>
      </w:r>
      <w:r>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oMath>
      <w:r>
        <w:rPr/>
        <w:t xml:space="preserve"> y </w:t>
      </w:r>
      <w:r>
        <w:rPr/>
      </w:r>
      <m:oMath xmlns:m="http://schemas.openxmlformats.org/officeDocument/2006/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oMath>
      <w:r>
        <w:rPr/>
        <w:t xml:space="preserve">. La degradación </w:t>
      </w:r>
      <w:r>
        <w:rPr>
          <w:rStyle w:val="VerbatimChar"/>
        </w:rPr>
        <w:t>combined</w:t>
      </w:r>
      <w:r>
        <w:rPr/>
        <w:t xml:space="preserve"> agrupa varias componentes con un perfil común (por ejemplo, sesgo más ruido creciente).</w:t>
      </w:r>
      <w:bookmarkEnd w:id="57"/>
    </w:p>
    <w:p>
      <w:pPr>
        <w:pStyle w:val="Heading2"/>
        <w:rPr/>
      </w:pPr>
      <w:bookmarkStart w:id="58" w:name="__RefHeading___Toc11042_1564873447"/>
      <w:bookmarkStart w:id="59" w:name="valor-verdadero-de-los-fallos"/>
      <w:bookmarkEnd w:id="58"/>
      <w:r>
        <w:rPr/>
        <w:t>8.3 Valor verdadero de los fallos</w:t>
      </w:r>
    </w:p>
    <w:p>
      <w:pPr>
        <w:pStyle w:val="FirstParagraph"/>
        <w:rPr/>
      </w:pPr>
      <w:r>
        <w:rPr/>
        <w:t>Para cada sensor se almacenan: estado nominal/degradado por muestra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si alguna degradación está activa, </w:t>
      </w:r>
      <w:r>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01</m:t>
        </m:r>
      </m:oMath>
      <w:r>
        <w:rPr/>
        <w:t xml:space="preserve">, o el estado «encendido» en los fallos intermitentes), instante de inicio configurado, primer y último instante activo, tipo, severidad, perfil, instante y duración de recuperación, y los valores verdaderos </w:t>
      </w:r>
      <w:r>
        <w:rPr/>
      </w:r>
      <m:oMath xmlns:m="http://schemas.openxmlformats.org/officeDocument/2006/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xml:space="preserve"> y </w:t>
      </w:r>
      <w:r>
        <w:rPr/>
      </w:r>
      <m:oMath xmlns:m="http://schemas.openxmlformats.org/officeDocument/2006/math">
        <m:sSubSup>
          <m:e>
            <m:r>
              <w:rPr>
                <w:rFonts w:ascii="Cambria Math" w:hAnsi="Cambria Math"/>
              </w:rPr>
              <m:t xml:space="preserve">R</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Esto permite evaluar objetivamente detección, confianza y pesos.</w:t>
      </w:r>
      <w:bookmarkEnd w:id="59"/>
    </w:p>
    <w:p>
      <w:pPr>
        <w:pStyle w:val="Heading2"/>
        <w:rPr/>
      </w:pPr>
      <w:bookmarkStart w:id="60" w:name="__RefHeading___Toc11044_1564873447"/>
      <w:bookmarkStart w:id="61" w:name="flujos-aleatorios-independientes"/>
      <w:bookmarkEnd w:id="60"/>
      <w:r>
        <w:rPr/>
        <w:t>8.4 Flujos aleatorios independientes</w:t>
      </w:r>
    </w:p>
    <w:p>
      <w:pPr>
        <w:pStyle w:val="FirstParagraph"/>
        <w:rPr/>
      </w:pPr>
      <w:r>
        <w:rPr/>
        <w:t>Cada proceso estocástico usa su propio generador derivado de la semilla y de una clave (</w:t>
      </w:r>
      <w:r>
        <w:rPr>
          <w:rStyle w:val="VerbatimChar"/>
        </w:rPr>
        <w:t>utils/rng.py</w:t>
      </w:r>
      <w:r>
        <w:rPr/>
        <w:t xml:space="preserve">): </w:t>
      </w:r>
      <w:r>
        <w:rPr>
          <w:rStyle w:val="VerbatimChar"/>
        </w:rPr>
        <w:t>("truth","x0")</w:t>
      </w:r>
      <w:r>
        <w:rPr/>
        <w:t xml:space="preserve">, </w:t>
      </w:r>
      <w:r>
        <w:rPr>
          <w:rStyle w:val="VerbatimChar"/>
        </w:rPr>
        <w:t>("truth","process")</w:t>
      </w:r>
      <w:r>
        <w:rPr/>
        <w:t xml:space="preserve">, </w:t>
      </w:r>
      <w:r>
        <w:rPr>
          <w:rStyle w:val="VerbatimChar"/>
        </w:rPr>
        <w:t>("sensor",i,"noise")</w:t>
      </w:r>
      <w:r>
        <w:rPr/>
        <w:t xml:space="preserve">, </w:t>
      </w:r>
      <w:r>
        <w:rPr>
          <w:rStyle w:val="VerbatimChar"/>
        </w:rPr>
        <w:t>("sensor",i,"dropout")</w:t>
      </w:r>
      <w:r>
        <w:rPr/>
        <w:t xml:space="preserve">, </w:t>
      </w:r>
      <w:r>
        <w:rPr>
          <w:rStyle w:val="VerbatimChar"/>
        </w:rPr>
        <w:t>("sensor",i,"degradation",j)</w:t>
      </w:r>
      <w:r>
        <w:rPr/>
        <w:t xml:space="preserve">, </w:t>
      </w:r>
      <w:r>
        <w:rPr>
          <w:rStyle w:val="VerbatimChar"/>
        </w:rPr>
        <w:t>("sensor",i,"profile",j)</w:t>
      </w:r>
      <w:r>
        <w:rPr/>
        <w:t xml:space="preserve">. En consecuencia, eliminar una degradación no altera las realizaciones de ruido: el </w:t>
      </w:r>
      <w:r>
        <w:rPr>
          <w:b/>
          <w:bCs/>
        </w:rPr>
        <w:t>gemelo nominal</w:t>
      </w:r>
      <w:r>
        <w:rPr/>
        <w:t xml:space="preserve"> de un escenario comparte exactamente el mismo ruido y valor verdadero, lo que habilita comparaciones pareadas nominal vs. degradado.</w:t>
      </w:r>
      <w:bookmarkEnd w:id="53"/>
      <w:bookmarkEnd w:id="61"/>
    </w:p>
    <w:p>
      <w:pPr>
        <w:pStyle w:val="Heading1"/>
        <w:rPr/>
      </w:pPr>
      <w:bookmarkStart w:id="62" w:name="__RefHeading___Toc11046_1564873447"/>
      <w:bookmarkStart w:id="63" w:name="innovación"/>
      <w:bookmarkEnd w:id="62"/>
      <w:r>
        <w:rPr/>
        <w:t>9. Innovación</w:t>
      </w:r>
    </w:p>
    <w:p>
      <w:pPr>
        <w:pStyle w:val="FirstParagraph"/>
        <w:rPr/>
      </w:pPr>
      <w:r>
        <w:rPr/>
        <w:t>Para los métodos basados en filtros (</w:t>
      </w:r>
      <w:r>
        <w:rPr>
          <w:rStyle w:val="VerbatimChar"/>
        </w:rPr>
        <w:t>fusion/centralized.py</w:t>
      </w:r>
      <w:r>
        <w:rPr/>
        <w:t>), en cada paso y para cada sensor con muestra disponible se calcula en el estado a priori:</w:t>
      </w:r>
    </w:p>
    <w:p>
      <w:pPr>
        <w:pStyle w:val="BodyText"/>
        <w:jc w:val="center"/>
        <w:rPr/>
      </w:pPr>
      <w:r>
        <w:rPr/>
      </w:r>
      <m:oMathPara xmlns:m="http://schemas.openxmlformats.org/officeDocument/2006/math">
        <m:oMathParaPr>
          <m:jc m:val="center"/>
        </m:oMathParaPr>
        <m:o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oMath>
      </m:oMathPara>
    </w:p>
    <w:p>
      <w:pPr>
        <w:pStyle w:val="FirstParagraph"/>
        <w:rPr/>
      </w:pPr>
      <w:r>
        <w:rPr/>
        <w:t xml:space="preserve">con </w:t>
      </w:r>
      <w:r>
        <w:rPr/>
      </w:r>
      <m:oMath xmlns:m="http://schemas.openxmlformats.org/officeDocument/2006/math">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oMath>
      <w:r>
        <w:rPr/>
        <w:t xml:space="preserve"> en KF/EKF (o la media de los puntos sigma en UKF) y </w:t>
      </w:r>
      <w:r>
        <w:rPr/>
      </w:r>
      <m:oMath xmlns:m="http://schemas.openxmlformats.org/officeDocument/2006/math">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el factor de Cholesky de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Se utiliza la covarianza </w:t>
      </w:r>
      <w:r>
        <w:rPr>
          <w:b/>
          <w:bCs/>
        </w:rPr>
        <w:t>nominal</w:t>
      </w:r>
      <w: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y no la efectiva: el estadístico contrasta así la hipótesis «el sensor se comporta como está especificado»; con la covarianza efectiva, un sensor ya penalizado tendría innovaciones estandarizadas artificialmente pequeñas y recuperaría la confianza de forma espuria.</w:t>
      </w:r>
    </w:p>
    <w:p>
      <w:pPr>
        <w:pStyle w:val="BodyText"/>
        <w:rPr/>
      </w:pPr>
      <w:r>
        <w:rPr/>
        <w:t xml:space="preserve">Se almacenan las series completas de </w:t>
      </w:r>
      <w:r>
        <w:rPr/>
      </w:r>
      <m:oMath xmlns:m="http://schemas.openxmlformats.org/officeDocument/2006/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w:t>
      </w:r>
      <w:r>
        <w:rPr/>
      </w:r>
      <m:oMath xmlns:m="http://schemas.openxmlformats.org/officeDocument/2006/math">
        <m:rad>
          <m:radPr>
            <m:degHide m:val="1"/>
          </m:radPr>
          <m:deg/>
          <m:e>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rad>
      </m:oMath>
      <w:r>
        <w:rPr/>
        <w:t xml:space="preserve">, </w:t>
      </w:r>
      <w:r>
        <w:rPr/>
      </w:r>
      <m:oMath xmlns:m="http://schemas.openxmlformats.org/officeDocument/2006/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el NIS por sensor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y el NIS total de la actualización conjunta con la covarianza efectiva:</w:t>
      </w:r>
    </w:p>
    <w:p>
      <w:pPr>
        <w:pStyle w:val="BodyText"/>
        <w:jc w:val="center"/>
        <w:rPr/>
      </w:pPr>
      <w:r>
        <w:rPr/>
      </w:r>
      <m:oMathPara xmlns:m="http://schemas.openxmlformats.org/officeDocument/2006/math">
        <m:oMathParaPr>
          <m:jc m:val="center"/>
        </m:oMathParaPr>
        <m:oMath>
          <m:sSub>
            <m:e>
              <m:r>
                <w:rPr>
                  <w:rFonts w:ascii="Cambria Math" w:hAnsi="Cambria Math"/>
                </w:rPr>
                <m:t xml:space="preserve">N</m:t>
              </m:r>
              <m:r>
                <w:rPr>
                  <w:rFonts w:ascii="Cambria Math" w:hAnsi="Cambria Math"/>
                </w:rPr>
                <m:t xml:space="preserve">I</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ν</m:t>
              </m:r>
            </m:e>
            <m:sub>
              <m:r>
                <w:rPr>
                  <w:rFonts w:ascii="Cambria Math" w:hAnsi="Cambria Math"/>
                </w:rPr>
                <m:t xml:space="preserve">k</m:t>
              </m:r>
            </m:sub>
            <m:sup>
              <m:r>
                <w:rPr>
                  <w:rFonts w:ascii="Cambria Math" w:hAnsi="Cambria Math"/>
                </w:rPr>
                <m:t xml:space="preserve">T</m:t>
              </m:r>
            </m:sup>
          </m:sSub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oMath>
      </m:oMathPara>
    </w:p>
    <w:p>
      <w:pPr>
        <w:pStyle w:val="FirstParagraph"/>
        <w:rPr/>
      </w:pPr>
      <w:r>
        <w:rPr/>
        <w:t xml:space="preserve">donde </w:t>
      </w:r>
      <w:r>
        <w:rPr/>
      </w:r>
      <m:oMath xmlns:m="http://schemas.openxmlformats.org/officeDocument/2006/math">
        <m:sSub>
          <m:e>
            <m:r>
              <w:rPr>
                <w:rFonts w:ascii="Cambria Math" w:hAnsi="Cambria Math"/>
              </w:rPr>
              <m:t xml:space="preserve">A</m:t>
            </m:r>
          </m:e>
          <m:sub>
            <m:r>
              <w:rPr>
                <w:rFonts w:ascii="Cambria Math" w:hAnsi="Cambria Math"/>
              </w:rPr>
              <m:t xml:space="preserve">k</m:t>
            </m:r>
          </m:sub>
        </m:sSub>
      </m:oMath>
      <w:r>
        <w:rPr/>
        <w:t xml:space="preserve"> es el conjunto de sensores con muestra. Los métodos estáticos (promedios) no tienen predictor y, por lo tanto, no reportan innovación ni NIS.</w:t>
      </w:r>
      <w:bookmarkEnd w:id="63"/>
    </w:p>
    <w:p>
      <w:pPr>
        <w:pStyle w:val="Heading1"/>
        <w:rPr/>
      </w:pPr>
      <w:bookmarkStart w:id="64" w:name="__RefHeading___Toc11048_1564873447"/>
      <w:bookmarkStart w:id="65" w:name="primer-momento-de-la-innovación"/>
      <w:bookmarkEnd w:id="64"/>
      <w:r>
        <w:rPr/>
        <w:t>10. Primer momento de la innovación</w:t>
      </w:r>
    </w:p>
    <w:p>
      <w:pPr>
        <w:pStyle w:val="FirstParagraph"/>
        <w:rPr/>
      </w:pPr>
      <w:r>
        <w:rPr/>
        <w:t xml:space="preserve">El primer momento </w:t>
      </w:r>
      <w:r>
        <w:rPr/>
      </w:r>
      <m:oMath xmlns:m="http://schemas.openxmlformats.org/officeDocument/2006/math">
        <m:sSub>
          <m:e>
            <m:r>
              <w:rPr>
                <w:rFonts w:ascii="Cambria Math" w:hAnsi="Cambria Math"/>
              </w:rPr>
              <m:t xml:space="preserve">μ</m:t>
            </m:r>
          </m:e>
          <m:sub>
            <m:sSub>
              <m:e>
                <m:r>
                  <w:rPr>
                    <w:rFonts w:ascii="Cambria Math" w:hAnsi="Cambria Math"/>
                  </w:rPr>
                  <m:t xml:space="preserve">ν</m:t>
                </m:r>
              </m:e>
              <m:sub>
                <m:r>
                  <w:rPr>
                    <w:rFonts w:ascii="Cambria Math" w:hAnsi="Cambria Math"/>
                  </w:rPr>
                  <m:t xml:space="preserve">i</m:t>
                </m:r>
              </m:sub>
            </m:sSub>
          </m:sub>
        </m:sSub>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sub>
            </m:sSub>
          </m:e>
        </m:d>
      </m:oMath>
      <w:r>
        <w:rPr/>
        <w:t xml:space="preserve"> se estima en línea (</w:t>
      </w:r>
      <w:r>
        <w:rPr>
          <w:rStyle w:val="VerbatimChar"/>
        </w:rPr>
        <w:t>trust/moments.py</w:t>
      </w:r>
      <w:r>
        <w:rPr/>
        <w:t>) con tres estimadores:</w:t>
      </w:r>
    </w:p>
    <w:p>
      <w:pPr>
        <w:pStyle w:val="BodyText"/>
        <w:rPr/>
      </w:pPr>
      <w:r>
        <w:rPr>
          <w:b/>
          <w:bCs/>
        </w:rPr>
        <w:t>EWMA:</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λ</m:t>
              </m:r>
            </m:num>
            <m:den>
              <m:r>
                <w:rPr>
                  <w:rFonts w:ascii="Cambria Math" w:hAnsi="Cambria Math"/>
                </w:rPr>
                <m:t xml:space="preserve">1</m:t>
              </m:r>
              <m:r>
                <w:rPr>
                  <w:rFonts w:ascii="Cambria Math" w:hAnsi="Cambria Math"/>
                </w:rPr>
                <m:t xml:space="preserve">−</m:t>
              </m:r>
              <m:r>
                <w:rPr>
                  <w:rFonts w:ascii="Cambria Math" w:hAnsi="Cambria Math"/>
                </w:rPr>
                <m:t xml:space="preserve">λ</m:t>
              </m:r>
            </m:den>
          </m:f>
          <m:r>
            <w:rPr>
              <w:rFonts w:ascii="Cambria Math" w:hAnsi="Cambria Math"/>
            </w:rPr>
            <m:t xml:space="preserve">,</m:t>
          </m:r>
        </m:oMath>
      </m:oMathPara>
    </w:p>
    <w:p>
      <w:pPr>
        <w:pStyle w:val="FirstParagraph"/>
        <w:rPr/>
      </w:pPr>
      <w:r>
        <w:rPr/>
        <w:t xml:space="preserve">inicializado en el valor nominal </w:t>
      </w:r>
      <w:r>
        <w:rPr/>
      </w:r>
      <m:oMath xmlns:m="http://schemas.openxmlformats.org/officeDocument/2006/math">
        <m:sSub>
          <m:e>
            <m:acc>
              <m:accPr>
                <m:chr m:val="^"/>
              </m:accPr>
              <m:e>
                <m:r>
                  <w:rPr>
                    <w:rFonts w:ascii="Cambria Math" w:hAnsi="Cambria Math"/>
                  </w:rPr>
                  <m:t xml:space="preserve">μ</m:t>
                </m:r>
              </m:e>
            </m:acc>
          </m:e>
          <m:sub>
            <m:r>
              <w:rPr>
                <w:rFonts w:ascii="Cambria Math" w:hAnsi="Cambria Math"/>
              </w:rPr>
              <m:t xml:space="preserve">0</m:t>
            </m:r>
          </m:sub>
        </m:sSub>
        <m:r>
          <w:rPr>
            <w:rFonts w:ascii="Cambria Math" w:hAnsi="Cambria Math"/>
          </w:rPr>
          <m:t xml:space="preserve">=</m:t>
        </m:r>
        <m:r>
          <w:rPr>
            <w:rFonts w:ascii="Cambria Math" w:hAnsi="Cambria Math"/>
          </w:rPr>
          <m:t xml:space="preserve">0</m:t>
        </m:r>
      </m:oMath>
      <w:r>
        <w:rPr/>
        <w:t>.</w:t>
      </w:r>
    </w:p>
    <w:p>
      <w:pPr>
        <w:pStyle w:val="BodyText"/>
        <w:rPr/>
      </w:pPr>
      <w:r>
        <w:rPr>
          <w:b/>
          <w:bCs/>
        </w:rPr>
        <w:t>Ventana deslizante:</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ε</m:t>
                  </m:r>
                </m:e>
                <m:sub>
                  <m:r>
                    <w:rPr>
                      <w:rFonts w:ascii="Cambria Math" w:hAnsi="Cambria Math"/>
                    </w:rPr>
                    <m:t xml:space="preserve">j</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min</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oMath>
      </m:oMathPara>
    </w:p>
    <w:p>
      <w:pPr>
        <w:pStyle w:val="FirstParagraph"/>
        <w:rPr/>
      </w:pPr>
      <w:r>
        <w:rPr>
          <w:b/>
          <w:bCs/>
        </w:rPr>
        <w:t>Media recursiva:</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ε</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n</m:t>
                  </m:r>
                </m:e>
                <m:sub>
                  <m:r>
                    <w:rPr>
                      <w:rFonts w:ascii="Cambria Math" w:hAnsi="Cambria Math"/>
                    </w:rPr>
                    <m:t xml:space="preserve">k</m:t>
                  </m:r>
                </m:sub>
              </m:sSub>
            </m:den>
          </m:f>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oMath>
      </m:oMathPara>
    </w:p>
    <w:p>
      <w:pPr>
        <w:pStyle w:val="FirstParagraph"/>
        <w:rPr/>
      </w:pPr>
      <w:r>
        <w:rPr/>
      </w:r>
      <m:oMath xmlns:m="http://schemas.openxmlformats.org/officeDocument/2006/math">
        <m:sSub>
          <m:e>
            <m:r>
              <w:rPr>
                <w:rFonts w:ascii="Cambria Math" w:hAnsi="Cambria Math"/>
              </w:rPr>
              <m:t xml:space="preserve">n</m:t>
            </m:r>
          </m:e>
          <m:sub>
            <m:r>
              <w:rPr>
                <w:rFonts w:ascii="Cambria Math" w:hAnsi="Cambria Math"/>
              </w:rPr>
              <m:t xml:space="preserve">k</m:t>
            </m:r>
          </m:sub>
        </m:sSub>
      </m:oMath>
      <w:r>
        <w:rPr/>
        <w:t xml:space="preserve"> </w:t>
      </w:r>
      <w:r>
        <w:rPr/>
        <w:t xml:space="preserve">es el número de muestras disponibles recibidas.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la desviación estándar de cada componente de </w:t>
      </w:r>
      <w:r>
        <w:rPr/>
      </w:r>
      <m:oMath xmlns:m="http://schemas.openxmlformats.org/officeDocument/2006/math">
        <m:acc>
          <m:accPr>
            <m:chr m:val="^"/>
          </m:accPr>
          <m:e>
            <m:r>
              <w:rPr>
                <w:rFonts w:ascii="Cambria Math" w:hAnsi="Cambria Math"/>
              </w:rPr>
              <m:t xml:space="preserve">μ</m:t>
            </m:r>
          </m:e>
        </m:acc>
      </m:oMath>
      <w:r>
        <w:rPr/>
        <w:t xml:space="preserve"> es </w:t>
      </w:r>
      <w:r>
        <w:rPr/>
      </w:r>
      <m:oMath xmlns:m="http://schemas.openxmlformats.org/officeDocument/2006/math">
        <m:f>
          <m:fPr>
            <m:type m:val="lin"/>
          </m:fPr>
          <m:num>
            <m:r>
              <w:rPr>
                <w:rFonts w:ascii="Cambria Math" w:hAnsi="Cambria Math"/>
              </w:rPr>
              <m:t xml:space="preserve">1</m:t>
            </m:r>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oMath>
      <w:r>
        <w:rPr/>
        <w:t xml:space="preserve">. Para sensores escalares se almacena </w:t>
      </w:r>
      <w:r>
        <w:rPr/>
      </w:r>
      <m:oMath xmlns:m="http://schemas.openxmlformats.org/officeDocument/2006/math">
        <m:acc>
          <m:accPr>
            <m:chr m:val="^"/>
          </m:accPr>
          <m:e>
            <m:r>
              <w:rPr>
                <w:rFonts w:ascii="Cambria Math" w:hAnsi="Cambria Math"/>
              </w:rPr>
              <m:t xml:space="preserve">μ</m:t>
            </m:r>
          </m:e>
        </m:acc>
      </m:oMath>
      <w:r>
        <w:rPr/>
        <w:t xml:space="preserve"> con signo; para sensores vectoriales, </w:t>
      </w:r>
      <w:r>
        <w:rPr/>
      </w:r>
      <m:oMath xmlns:m="http://schemas.openxmlformats.org/officeDocument/2006/math">
        <m:f>
          <m:fPr>
            <m:type m:val="lin"/>
          </m:fPr>
          <m:num>
            <m:d>
              <m:dPr>
                <m:begChr m:val="‖"/>
                <m:endChr m:val="‖"/>
              </m:dPr>
              <m:e>
                <m:acc>
                  <m:accPr>
                    <m:chr m:val="^"/>
                  </m:accPr>
                  <m:e>
                    <m:r>
                      <w:rPr>
                        <w:rFonts w:ascii="Cambria Math" w:hAnsi="Cambria Math"/>
                      </w:rPr>
                      <m:t xml:space="preserve">μ</m:t>
                    </m:r>
                  </m:e>
                </m:acc>
              </m:e>
            </m:d>
          </m:num>
          <m:den>
            <m:rad>
              <m:radPr>
                <m:degHide m:val="1"/>
              </m:radPr>
              <m:deg/>
              <m:e>
                <m:r>
                  <w:rPr>
                    <w:rFonts w:ascii="Cambria Math" w:hAnsi="Cambria Math"/>
                  </w:rPr>
                  <m:t xml:space="preserve">m</m:t>
                </m:r>
              </m:e>
            </m:rad>
          </m:den>
        </m:f>
      </m:oMath>
      <w:r>
        <w:rPr/>
        <w:t>.</w:t>
      </w:r>
    </w:p>
    <w:p>
      <w:pPr>
        <w:pStyle w:val="Heading2"/>
        <w:rPr/>
      </w:pPr>
      <w:bookmarkStart w:id="66" w:name="__RefHeading___Toc11050_1564873447"/>
      <w:bookmarkStart w:id="67" w:name="referencia-de-consenso"/>
      <w:bookmarkEnd w:id="66"/>
      <w:r>
        <w:rPr/>
        <w:t>10.1 Referencia de consenso</w:t>
      </w:r>
    </w:p>
    <w:p>
      <w:pPr>
        <w:pStyle w:val="FirstParagraph"/>
        <w:rPr/>
      </w:pPr>
      <w:r>
        <w:rPr/>
        <w:t xml:space="preserve">La innovación se calcula respecto a la predicción fusionada, común a todos los sensores. Si el sensor degradado es el más preciso y domina la estimación, la estimación lo sigue y son los sensores </w:t>
      </w:r>
      <w:r>
        <w:rPr>
          <w:b/>
          <w:bCs/>
        </w:rPr>
        <w:t>sanos</w:t>
      </w:r>
      <w:r>
        <w:rPr/>
        <w:t xml:space="preserve"> los que muestran las medias de innovación más grandes. Sin embargo, un error común de estimación </w:t>
      </w:r>
      <w:r>
        <w:rPr/>
      </w:r>
      <m:oMath xmlns:m="http://schemas.openxmlformats.org/officeDocument/2006/math">
        <m:r>
          <w:rPr>
            <w:rFonts w:ascii="Cambria Math" w:hAnsi="Cambria Math"/>
          </w:rPr>
          <m:t xml:space="preserve">e</m:t>
        </m:r>
      </m:oMath>
      <w:r>
        <w:rPr/>
        <w:t xml:space="preserve"> desplaza la media de innovación de todos los sensores de un </w:t>
      </w:r>
      <w:r>
        <w:rPr>
          <w:b/>
          <w:bCs/>
        </w:rPr>
        <w:t>grupo redundante</w:t>
      </w:r>
      <w:r>
        <w:rPr/>
        <w:t xml:space="preserve"> </w:t>
      </w:r>
      <w:r>
        <w:rPr/>
      </w:r>
      <m:oMath xmlns:m="http://schemas.openxmlformats.org/officeDocument/2006/math">
        <m:r>
          <w:rPr>
            <w:rFonts w:ascii="Cambria Math" w:hAnsi="Cambria Math"/>
          </w:rPr>
          <m:t xml:space="preserve">G</m:t>
        </m:r>
      </m:oMath>
      <w:r>
        <w:rPr/>
        <w:t xml:space="preserve"> (sensores con la misma función de medición) en la misma cantidad </w:t>
      </w:r>
      <w:r>
        <w:rPr/>
      </w:r>
      <m:oMath xmlns:m="http://schemas.openxmlformats.org/officeDocument/2006/math">
        <m:r>
          <w:rPr>
            <w:rFonts w:ascii="Cambria Math" w:hAnsi="Cambria Math"/>
          </w:rPr>
          <m:t xml:space="preserve">−</m:t>
        </m:r>
        <m:r>
          <w:rPr>
            <w:rFonts w:ascii="Cambria Math" w:hAnsi="Cambria Math"/>
          </w:rPr>
          <m:t xml:space="preserve">H</m:t>
        </m:r>
        <m:r>
          <w:rPr>
            <w:rFonts w:ascii="Cambria Math" w:hAnsi="Cambria Math"/>
          </w:rPr>
          <m:t xml:space="preserve">e</m:t>
        </m:r>
      </m:oMath>
      <w:r>
        <w:rPr/>
        <w:t xml:space="preserve">, mientras que un fallo desplaza solo la media del sensor afectado. SensorTrust Fusion referencia por ello las medias físicas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sub>
        </m:sSub>
        <m:sSub>
          <m:e>
            <m:acc>
              <m:accPr>
                <m:chr m:val="^"/>
              </m:accPr>
              <m:e>
                <m:r>
                  <w:rPr>
                    <w:rFonts w:ascii="Cambria Math" w:hAnsi="Cambria Math"/>
                  </w:rPr>
                  <m:t xml:space="preserve">μ</m:t>
                </m:r>
              </m:e>
            </m:acc>
          </m:e>
          <m:sub>
            <m:r>
              <w:rPr>
                <w:rFonts w:ascii="Cambria Math" w:hAnsi="Cambria Math"/>
              </w:rPr>
              <m:t xml:space="preserve">i</m:t>
            </m:r>
          </m:sub>
        </m:sSub>
      </m:oMath>
      <w:r>
        <w:rPr/>
        <w:t xml:space="preserve"> a la mediana de los miembros confiables del grupo:</w:t>
      </w:r>
    </w:p>
    <w:p>
      <w:pPr>
        <w:pStyle w:val="BodyText"/>
        <w:jc w:val="center"/>
        <w:rPr/>
      </w:pPr>
      <w:r>
        <w:rPr/>
      </w:r>
      <m:oMathPara xmlns:m="http://schemas.openxmlformats.org/officeDocument/2006/math">
        <m:oMathParaPr>
          <m:jc m:val="center"/>
        </m:oMathParaPr>
        <m:o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r>
            <w:rPr>
              <w:rFonts w:ascii="Cambria Math" w:hAnsi="Cambria Math"/>
            </w:rPr>
            <m:t xml:space="preserve">=</m:t>
          </m:r>
          <m:sSubSup>
            <m:e>
              <m:r>
                <w:rPr>
                  <w:rFonts w:ascii="Cambria Math" w:hAnsi="Cambria Math"/>
                </w:rPr>
                <m:t xml:space="preserve">L</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d>
            <m:dPr>
              <m:begChr m:val="("/>
              <m:endChr m:val=")"/>
            </m:dPr>
            <m:e>
              <m:sSub>
                <m:e>
                  <m:r>
                    <w:rPr>
                      <w:rFonts w:ascii="Cambria Math" w:hAnsi="Cambria Math"/>
                    </w:rPr>
                    <m:t xml:space="preserve">L</m:t>
                  </m:r>
                </m:e>
                <m:sub>
                  <m:r>
                    <w:rPr>
                      <w:rFonts w:ascii="Cambria Math" w:hAnsi="Cambria Math"/>
                    </w:rPr>
                    <m:t xml:space="preserve">i</m:t>
                  </m:r>
                </m:sub>
              </m:sSub>
              <m:sSub>
                <m:e>
                  <m:acc>
                    <m:accPr>
                      <m:chr m:val="^"/>
                    </m:accPr>
                    <m:e>
                      <m:r>
                        <w:rPr>
                          <w:rFonts w:ascii="Cambria Math" w:hAnsi="Cambria Math"/>
                        </w:rPr>
                        <m:t xml:space="preserve">μ</m:t>
                      </m:r>
                    </m:e>
                  </m:acc>
                </m:e>
                <m:sub>
                  <m:r>
                    <w:rPr>
                      <w:rFonts w:ascii="Cambria Math" w:hAnsi="Cambria Math"/>
                    </w:rPr>
                    <m:t xml:space="preserve">i</m:t>
                  </m:r>
                </m:sub>
              </m:sSub>
              <m:r>
                <w:rPr>
                  <w:rFonts w:ascii="Cambria Math" w:hAnsi="Cambria Math"/>
                </w:rPr>
                <m:t xml:space="preserve">−</m:t>
              </m:r>
              <m:limLow>
                <m:e>
                  <m:r>
                    <w:rPr>
                      <w:rFonts w:ascii="Cambria Math" w:hAnsi="Cambria Math"/>
                    </w:rPr>
                    <m:t xml:space="preserve">median</m:t>
                  </m:r>
                </m:e>
                <m:lim>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lim>
              </m:limLow>
              <m:sSub>
                <m:e>
                  <m:r>
                    <w:rPr>
                      <w:rFonts w:ascii="Cambria Math" w:hAnsi="Cambria Math"/>
                    </w:rPr>
                    <m:t xml:space="preserve">L</m:t>
                  </m:r>
                </m:e>
                <m:sub>
                  <m:r>
                    <w:rPr>
                      <w:rFonts w:ascii="Cambria Math" w:hAnsi="Cambria Math"/>
                    </w:rPr>
                    <m:t xml:space="preserve">j</m:t>
                  </m:r>
                </m:sub>
              </m:sSub>
              <m:sSub>
                <m:e>
                  <m:acc>
                    <m:accPr>
                      <m:chr m:val="^"/>
                    </m:accPr>
                    <m:e>
                      <m:r>
                        <w:rPr>
                          <w:rFonts w:ascii="Cambria Math" w:hAnsi="Cambria Math"/>
                        </w:rPr>
                        <m:t xml:space="preserve">μ</m:t>
                      </m:r>
                    </m:e>
                  </m:acc>
                </m:e>
                <m:sub>
                  <m:r>
                    <w:rPr>
                      <w:rFonts w:ascii="Cambria Math" w:hAnsi="Cambria Math"/>
                    </w:rPr>
                    <m:t xml:space="preserve">j</m:t>
                  </m:r>
                </m:sub>
              </m:sSub>
            </m:e>
          </m:d>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limLow>
            <m:e>
              <m:r>
                <w:rPr>
                  <w:rFonts w:ascii="Cambria Math" w:hAnsi="Cambria Math"/>
                </w:rPr>
                <m:t xml:space="preserve">max</m:t>
              </m:r>
            </m:e>
            <m:lim>
              <m:r>
                <w:rPr>
                  <w:rFonts w:ascii="Cambria Math" w:hAnsi="Cambria Math"/>
                </w:rPr>
                <m:t xml:space="preserve">l</m:t>
              </m:r>
              <m:r>
                <w:rPr>
                  <w:rFonts w:ascii="Cambria Math" w:hAnsi="Cambria Math"/>
                </w:rPr>
                <m:t xml:space="preserve">∈</m:t>
              </m:r>
              <m:r>
                <w:rPr>
                  <w:rFonts w:ascii="Cambria Math" w:hAnsi="Cambria Math"/>
                </w:rPr>
                <m:t xml:space="preserve">G</m:t>
              </m:r>
            </m:lim>
          </m:limLow>
          <m:sSub>
            <m:e>
              <m:r>
                <w:rPr>
                  <w:rFonts w:ascii="Cambria Math" w:hAnsi="Cambria Math"/>
                </w:rPr>
                <m:t xml:space="preserve">T</m:t>
              </m:r>
            </m:e>
            <m:sub>
              <m:r>
                <w:rPr>
                  <w:rFonts w:ascii="Cambria Math" w:hAnsi="Cambria Math"/>
                </w:rPr>
                <m:t xml:space="preserve">l</m:t>
              </m:r>
            </m:sub>
          </m:sSub>
          <m:r>
            <w:rPr>
              <w:rFonts w:ascii="Cambria Math" w:hAnsi="Cambria Math"/>
            </w:rPr>
            <m:t xml:space="preserve">}</m:t>
          </m:r>
          <m:r>
            <w:rPr>
              <w:rFonts w:ascii="Cambria Math" w:hAnsi="Cambria Math"/>
            </w:rPr>
            <m:t xml:space="preserve">,</m:t>
          </m:r>
        </m:oMath>
      </m:oMathPara>
    </w:p>
    <w:p>
      <w:pPr>
        <w:pStyle w:val="FirstParagraph"/>
        <w:rPr/>
      </w:pPr>
      <w:r>
        <w:rPr/>
        <w:t xml:space="preserve">aplicada cuando el grupo tiene al menos </w:t>
      </w:r>
      <w:r>
        <w:rPr>
          <w:rStyle w:val="VerbatimChar"/>
        </w:rPr>
        <w:t>consensus_min_sensors</w:t>
      </w:r>
      <w:r>
        <w:rPr/>
        <w:t xml:space="preserve"> (</w:t>
      </w:r>
      <w:r>
        <w:rPr/>
      </w:r>
      <m:oMath xmlns:m="http://schemas.openxmlformats.org/officeDocument/2006/math">
        <m:r>
          <w:rPr>
            <w:rFonts w:ascii="Cambria Math" w:hAnsi="Cambria Math"/>
          </w:rPr>
          <m:t xml:space="preserve">≥</m:t>
        </m:r>
        <m:r>
          <w:rPr>
            <w:rFonts w:ascii="Cambria Math" w:hAnsi="Cambria Math"/>
          </w:rPr>
          <m:t xml:space="preserve">3</m:t>
        </m:r>
      </m:oMath>
      <w:r>
        <w:rPr/>
        <w:t xml:space="preserve">) sensores con muestra. Si hay menos de dos miembros confiables, la mediana se toma sobre los miembros que fueron confiables dentro de la ventana de memoria </w:t>
      </w:r>
      <w:r>
        <w:rPr>
          <w:rStyle w:val="VerbatimChar"/>
        </w:rPr>
        <w:t>consensus_memory_samples</w:t>
      </w:r>
      <w:r>
        <w:rPr/>
        <w:t xml:space="preserve"> (200 muestras), siempre que sean al menos </w:t>
      </w:r>
      <w:r>
        <w:rPr>
          <w:rStyle w:val="VerbatimChar"/>
        </w:rPr>
        <w:t>consensus_min_sensors</w:t>
      </w:r>
      <w:r>
        <w:rPr/>
        <w:t>; en otro caso no se corrige. Así se evita un bloqueo en el que el ruido reduce momentáneamente la confianza de los sensores sanos en el instante del fallo y el sensor defectuoso queda como única referencia (caso identificado con el análisis de sensibilidad de Sobol, sección 26.9), mientras que los sensores desconfiados de forma persistente permanecen fuera de la referencia (fallos secuenciales o mayoritarios, ST-BENCH-12). La mediana es robusta ante una minoría de sensores defectuosos y la restricción a miembros confiables evita que sensores ya aislados contaminen la referencia de fallos posteriores. En grupos de dos sensores no se corrige: un desacuerdo entre dos sensores no puede atribuirse sin redundancia adicional. El benchmark ST-BENCH-16 (sección 26.4) documenta el efecto de esta referencia.</w:t>
      </w:r>
      <w:bookmarkEnd w:id="65"/>
      <w:bookmarkEnd w:id="67"/>
    </w:p>
    <w:p>
      <w:pPr>
        <w:pStyle w:val="Heading1"/>
        <w:rPr/>
      </w:pPr>
      <w:bookmarkStart w:id="68" w:name="__RefHeading___Toc11052_1564873447"/>
      <w:bookmarkStart w:id="69" w:name="segundo-momento-de-la-innovación"/>
      <w:bookmarkEnd w:id="68"/>
      <w:r>
        <w:rPr/>
        <w:t>11. Segundo momento de la innovación</w:t>
      </w:r>
    </w:p>
    <w:p>
      <w:pPr>
        <w:pStyle w:val="FirstParagraph"/>
        <w:rPr/>
      </w:pPr>
      <w:r>
        <w:rPr/>
        <w:t xml:space="preserve">El segundo momento normalizado por dimensión se estima con el mismo tipo de estimador que el primero, aplicado a </w:t>
      </w: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k</m:t>
            </m:r>
          </m:sub>
          <m:sup>
            <m:r>
              <w:rPr>
                <w:rFonts w:ascii="Cambria Math" w:hAnsi="Cambria Math"/>
              </w:rPr>
              <m:t xml:space="preserve">T</m:t>
            </m:r>
          </m:sup>
        </m:sSubSup>
        <m:f>
          <m:fPr>
            <m:type m:val="lin"/>
          </m:fPr>
          <m:num>
            <m:sSub>
              <m:e>
                <m:r>
                  <w:rPr>
                    <w:rFonts w:ascii="Cambria Math" w:hAnsi="Cambria Math"/>
                  </w:rPr>
                  <m:t xml:space="preserve">ε</m:t>
                </m:r>
              </m:e>
              <m:sub>
                <m:r>
                  <w:rPr>
                    <w:rFonts w:ascii="Cambria Math" w:hAnsi="Cambria Math"/>
                  </w:rPr>
                  <m:t xml:space="preserve">k</m:t>
                </m:r>
              </m:sub>
            </m:sSub>
          </m:num>
          <m:den>
            <m:r>
              <w:rPr>
                <w:rFonts w:ascii="Cambria Math" w:hAnsi="Cambria Math"/>
              </w:rPr>
              <m:t xml:space="preserve">m</m:t>
            </m:r>
          </m:den>
        </m:f>
      </m:oMath>
      <w:r>
        <w:rPr/>
        <w:t>:</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f>
            <m:num>
              <m:sSubSup>
                <m:e>
                  <m:r>
                    <w:rPr>
                      <w:rFonts w:ascii="Cambria Math" w:hAnsi="Cambria Math"/>
                    </w:rPr>
                    <m:t xml:space="preserve">ε</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k</m:t>
                  </m:r>
                </m:sub>
              </m:sSub>
            </m:num>
            <m:den>
              <m:r>
                <w:rPr>
                  <w:rFonts w:ascii="Cambria Math" w:hAnsi="Cambria Math"/>
                </w:rPr>
                <m:t xml:space="preserve">m</m:t>
              </m:r>
            </m:den>
          </m:f>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0</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en EWMA</m:t>
          </m:r>
          <m:r>
            <w:rPr>
              <w:rFonts w:ascii="Cambria Math" w:hAnsi="Cambria Math"/>
            </w:rPr>
            <m:t xml:space="preserve">)</m:t>
          </m:r>
          <m:r>
            <w:rPr>
              <w:rFonts w:ascii="Cambria Math" w:hAnsi="Cambria Math"/>
            </w:rPr>
            <m:t xml:space="preserve">,</m:t>
          </m:r>
        </m:oMath>
      </m:oMathPara>
    </w:p>
    <w:p>
      <w:pPr>
        <w:pStyle w:val="FirstParagraph"/>
        <w:rPr/>
      </w:pPr>
      <w:r>
        <w:rPr/>
        <w:t xml:space="preserve">o su equivalente en ventana deslizante o media recursiva.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w:t>
      </w:r>
      <w:r>
        <w:rPr/>
      </w:r>
      <m:oMath xmlns:m="http://schemas.openxmlformats.org/officeDocument/2006/math">
        <m:r>
          <w:rPr>
            <w:rFonts w:ascii="Cambria Math" w:hAnsi="Cambria Math"/>
          </w:rPr>
          <m:t xml:space="preserve">E</m:t>
        </m:r>
        <m:d>
          <m:dPr>
            <m:begChr m:val="["/>
            <m:endChr m:val="]"/>
          </m:dPr>
          <m:e>
            <m:sSub>
              <m:e>
                <m:acc>
                  <m:accPr>
                    <m:chr m:val="^"/>
                  </m:accPr>
                  <m:e>
                    <m:r>
                      <w:rPr>
                        <w:rFonts w:ascii="Cambria Math" w:hAnsi="Cambria Math"/>
                      </w:rPr>
                      <m:t xml:space="preserve">m</m:t>
                    </m:r>
                  </m:e>
                </m:acc>
              </m:e>
              <m:sub>
                <m:r>
                  <w:rPr>
                    <w:rFonts w:ascii="Cambria Math" w:hAnsi="Cambria Math"/>
                  </w:rPr>
                  <m:t xml:space="preserve">2</m:t>
                </m:r>
              </m:sub>
            </m:sSub>
          </m:e>
        </m:d>
        <m:r>
          <w:rPr>
            <w:rFonts w:ascii="Cambria Math" w:hAnsi="Cambria Math"/>
          </w:rPr>
          <m:t xml:space="preserve">=</m:t>
        </m:r>
        <m:r>
          <w:rPr>
            <w:rFonts w:ascii="Cambria Math" w:hAnsi="Cambria Math"/>
          </w:rPr>
          <m:t xml:space="preserve">1</m:t>
        </m:r>
      </m:oMath>
      <w:r>
        <w:rPr/>
        <w:t>. El software distingue explícitamente cuatro cantidades que solo coinciden para innovaciones de media cero: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782"/>
        <w:gridCol w:w="4849"/>
      </w:tblGrid>
      <w:tr>
        <w:trPr>
          <w:tblHeader w:val="true"/>
        </w:trPr>
        <w:tc>
          <w:tcPr>
            <w:tcW w:w="478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Cantidad</w:t>
            </w:r>
          </w:p>
        </w:tc>
        <w:tc>
          <w:tcPr>
            <w:tcW w:w="48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Definición implementada</w:t>
            </w:r>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Segundo momento</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acc>
                      <m:accPr>
                        <m:chr m:val="^"/>
                      </m:accPr>
                      <m:e>
                        <m:r>
                          <w:rPr>
                            <w:rFonts w:ascii="Cambria Math" w:hAnsi="Cambria Math"/>
                          </w:rPr>
                          <m:t xml:space="preserve">m</m:t>
                        </m:r>
                      </m:e>
                    </m:acc>
                  </m:e>
                  <m:sub>
                    <m:r>
                      <w:rPr>
                        <w:rFonts w:ascii="Cambria Math" w:hAnsi="Cambria Math"/>
                      </w:rPr>
                      <m:t xml:space="preserve">2</m:t>
                    </m:r>
                  </m:sub>
                </m:sSub>
                <m:r>
                  <w:rPr>
                    <w:rFonts w:ascii="Cambria Math" w:hAnsi="Cambria Math"/>
                  </w:rPr>
                  <m:t xml:space="preserve">≈</m:t>
                </m:r>
                <m:r>
                  <w:rPr>
                    <w:rFonts w:ascii="Cambria Math" w:hAnsi="Cambria Math"/>
                  </w:rPr>
                  <m:t xml:space="preserve">E</m:t>
                </m:r>
                <m:f>
                  <m:fPr>
                    <m:type m:val="lin"/>
                  </m:fPr>
                  <m:num>
                    <m:d>
                      <m:dPr>
                        <m:begChr m:val="["/>
                        <m:endChr m:val="]"/>
                      </m:dPr>
                      <m:e>
                        <m:sSup>
                          <m:e>
                            <m:d>
                              <m:dPr>
                                <m:begChr m:val="‖"/>
                                <m:endChr m:val="‖"/>
                              </m:dPr>
                              <m:e>
                                <m:r>
                                  <w:rPr>
                                    <w:rFonts w:ascii="Cambria Math" w:hAnsi="Cambria Math"/>
                                  </w:rPr>
                                  <m:t xml:space="preserve">ε</m:t>
                                </m:r>
                              </m:e>
                            </m:d>
                          </m:e>
                          <m:sup>
                            <m:r>
                              <w:rPr>
                                <w:rFonts w:ascii="Cambria Math" w:hAnsi="Cambria Math"/>
                              </w:rPr>
                              <m:t xml:space="preserve">2</m:t>
                            </m:r>
                          </m:sup>
                        </m:sSup>
                      </m:e>
                    </m:d>
                  </m:num>
                  <m:den>
                    <m:r>
                      <w:rPr>
                        <w:rFonts w:ascii="Cambria Math" w:hAnsi="Cambria Math"/>
                      </w:rPr>
                      <m:t xml:space="preserve">m</m:t>
                    </m:r>
                  </m:den>
                </m:f>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Varianza (momento central)</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p>
                  <m:e>
                    <m:acc>
                      <m:accPr>
                        <m:chr m:val="^"/>
                      </m:accPr>
                      <m:e>
                        <m:r>
                          <w:rPr>
                            <w:rFonts w:ascii="Cambria Math" w:hAnsi="Cambria Math"/>
                          </w:rPr>
                          <m:t xml:space="preserve">s</m:t>
                        </m:r>
                      </m:e>
                    </m:acc>
                  </m:e>
                  <m:sup>
                    <m:r>
                      <w:rPr>
                        <w:rFonts w:ascii="Cambria Math" w:hAnsi="Cambria Math"/>
                      </w:rPr>
                      <m:t xml:space="preserve">2</m:t>
                    </m:r>
                  </m:sup>
                </m:sSup>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sub>
                    </m:sSub>
                    <m:r>
                      <w:rPr>
                        <w:rFonts w:ascii="Cambria Math" w:hAnsi="Cambria Math"/>
                      </w:rPr>
                      <m:t xml:space="preserve">−</m:t>
                    </m:r>
                    <m:f>
                      <m:fPr>
                        <m:type m:val="lin"/>
                      </m:fPr>
                      <m:num>
                        <m:sSup>
                          <m:e>
                            <m:d>
                              <m:dPr>
                                <m:begChr m:val="‖"/>
                                <m:endChr m:val="‖"/>
                              </m:dPr>
                              <m:e>
                                <m:acc>
                                  <m:accPr>
                                    <m:chr m:val="^"/>
                                  </m:accPr>
                                  <m:e>
                                    <m:r>
                                      <w:rPr>
                                        <w:rFonts w:ascii="Cambria Math" w:hAnsi="Cambria Math"/>
                                      </w:rPr>
                                      <m:t xml:space="preserve">μ</m:t>
                                    </m:r>
                                  </m:e>
                                </m:acc>
                              </m:e>
                            </m:d>
                          </m:e>
                          <m:sup>
                            <m:r>
                              <w:rPr>
                                <w:rFonts w:ascii="Cambria Math" w:hAnsi="Cambria Math"/>
                              </w:rPr>
                              <m:t xml:space="preserve">2</m:t>
                            </m:r>
                          </m:sup>
                        </m:sSup>
                      </m:num>
                      <m:den>
                        <m:r>
                          <w:rPr>
                            <w:rFonts w:ascii="Cambria Math" w:hAnsi="Cambria Math"/>
                          </w:rPr>
                          <m:t xml:space="preserve">m</m:t>
                        </m:r>
                      </m:den>
                    </m:f>
                  </m:e>
                </m:d>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ad>
                  <m:radPr>
                    <m:degHide m:val="1"/>
                  </m:radPr>
                  <m:deg/>
                  <m:e>
                    <m:sSub>
                      <m:e>
                        <m:acc>
                          <m:accPr>
                            <m:chr m:val="^"/>
                          </m:accPr>
                          <m:e>
                            <m:r>
                              <w:rPr>
                                <w:rFonts w:ascii="Cambria Math" w:hAnsi="Cambria Math"/>
                              </w:rPr>
                              <m:t xml:space="preserve">m</m:t>
                            </m:r>
                          </m:e>
                        </m:acc>
                      </m:e>
                      <m:sub>
                        <m:r>
                          <w:rPr>
                            <w:rFonts w:ascii="Cambria Math" w:hAnsi="Cambria Math"/>
                          </w:rPr>
                          <m:t xml:space="preserve">2</m:t>
                        </m:r>
                      </m:sub>
                    </m:sSub>
                  </m:e>
                </m:rad>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Energía (en la ventana)</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nary>
                  <m:naryPr>
                    <m:chr m:val="∑"/>
                    <m:supHide m:val="1"/>
                  </m:naryPr>
                  <m:sub>
                    <m:r>
                      <w:rPr>
                        <w:rFonts w:ascii="Cambria Math" w:hAnsi="Cambria Math"/>
                      </w:rPr>
                      <m:t xml:space="preserve">j</m:t>
                    </m:r>
                  </m:sub>
                  <m:sup/>
                  <m:e>
                    <m:sSup>
                      <m:e>
                        <m:d>
                          <m:dPr>
                            <m:begChr m:val="‖"/>
                            <m:endChr m:val="‖"/>
                          </m:dPr>
                          <m:e>
                            <m:sSub>
                              <m:e>
                                <m:r>
                                  <w:rPr>
                                    <w:rFonts w:ascii="Cambria Math" w:hAnsi="Cambria Math"/>
                                  </w:rPr>
                                  <m:t xml:space="preserve">ε</m:t>
                                </m:r>
                              </m:e>
                              <m:sub>
                                <m:r>
                                  <w:rPr>
                                    <w:rFonts w:ascii="Cambria Math" w:hAnsi="Cambria Math"/>
                                  </w:rPr>
                                  <m:t xml:space="preserve">j</m:t>
                                </m:r>
                              </m:sub>
                            </m:sSub>
                          </m:e>
                        </m:d>
                      </m:e>
                      <m:sup>
                        <m:r>
                          <w:rPr>
                            <w:rFonts w:ascii="Cambria Math" w:hAnsi="Cambria Math"/>
                          </w:rPr>
                          <m:t xml:space="preserve">2</m:t>
                        </m:r>
                      </m:sup>
                    </m:sSup>
                  </m:e>
                </m:nary>
                <m:r>
                  <w:rPr>
                    <w:rFonts w:ascii="Cambria Math" w:hAnsi="Cambria Math"/>
                  </w:rPr>
                  <m:t xml:space="preserve">=</m:t>
                </m:r>
                <m:r>
                  <w:rPr>
                    <w:rFonts w:ascii="Cambria Math" w:hAnsi="Cambria Math"/>
                  </w:rPr>
                  <m:t xml:space="preserve">N</m:t>
                </m:r>
                <m:r>
                  <w:rPr>
                    <w:rFonts w:ascii="Cambria Math" w:hAnsi="Cambria Math"/>
                  </w:rPr>
                  <m:t xml:space="preserve">m</m:t>
                </m:r>
                <m:sSub>
                  <m:e>
                    <m:acc>
                      <m:accPr>
                        <m:chr m:val="^"/>
                      </m:accPr>
                      <m:e>
                        <m:r>
                          <w:rPr>
                            <w:rFonts w:ascii="Cambria Math" w:hAnsi="Cambria Math"/>
                          </w:rPr>
                          <m:t xml:space="preserve">m</m:t>
                        </m:r>
                      </m:e>
                    </m:acc>
                  </m:e>
                  <m:sub>
                    <m:r>
                      <w:rPr>
                        <w:rFonts w:ascii="Cambria Math" w:hAnsi="Cambria Math"/>
                      </w:rPr>
                      <m:t xml:space="preserve">2</m:t>
                    </m:r>
                  </m:sub>
                </m:sSub>
              </m:oMath>
            </m:oMathPara>
          </w:p>
        </w:tc>
      </w:tr>
    </w:tbl>
    <w:p>
      <w:pPr>
        <w:pStyle w:val="BodyText"/>
        <w:rPr/>
      </w:pPr>
      <w:r>
        <w:rPr/>
        <w:t xml:space="preserve">Consecuencia observable (figura del capítulo 26): un sesgo eleva </w:t>
      </w:r>
      <w:r>
        <w:rPr/>
      </w:r>
      <m:oMath xmlns:m="http://schemas.openxmlformats.org/officeDocument/2006/math">
        <m:sSub>
          <m:e>
            <m:acc>
              <m:accPr>
                <m:chr m:val="^"/>
              </m:accPr>
              <m:e>
                <m:r>
                  <w:rPr>
                    <w:rFonts w:ascii="Cambria Math" w:hAnsi="Cambria Math"/>
                  </w:rPr>
                  <m:t xml:space="preserve">m</m:t>
                </m:r>
              </m:e>
            </m:acc>
          </m:e>
          <m:sub>
            <m:r>
              <w:rPr>
                <w:rFonts w:ascii="Cambria Math" w:hAnsi="Cambria Math"/>
              </w:rPr>
              <m:t xml:space="preserve">2</m:t>
            </m:r>
          </m:sub>
        </m:sSub>
      </m:oMath>
      <w:r>
        <w:rPr/>
        <w:t xml:space="preserve"> pero no </w:t>
      </w:r>
      <w:r>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r>
        <w:rPr/>
        <w:t xml:space="preserve">, mientras que un aumento de ruido eleva ambos; por ello el segundo momento, a través de la varianza central, aporta información que la media no contiene. La varianza así estimada es el estimador sesgado (divisor </w:t>
      </w:r>
      <w:r>
        <w:rPr/>
      </w:r>
      <m:oMath xmlns:m="http://schemas.openxmlformats.org/officeDocument/2006/math">
        <m:r>
          <w:rPr>
            <w:rFonts w:ascii="Cambria Math" w:hAnsi="Cambria Math"/>
          </w:rPr>
          <m:t xml:space="preserve">N</m:t>
        </m:r>
      </m:oMath>
      <w:r>
        <w:rPr/>
        <w:t>) coherente con los momentos.</w:t>
      </w:r>
      <w:bookmarkEnd w:id="69"/>
    </w:p>
    <w:p>
      <w:pPr>
        <w:pStyle w:val="Heading1"/>
        <w:rPr/>
      </w:pPr>
      <w:bookmarkStart w:id="70" w:name="__RefHeading___Toc11054_1564873447"/>
      <w:bookmarkStart w:id="71" w:name="confiabilidad-sensortrust"/>
      <w:bookmarkEnd w:id="70"/>
      <w:r>
        <w:rPr/>
        <w:t>12. Confiabilidad (SensorTrust)</w:t>
      </w:r>
    </w:p>
    <w:p>
      <w:pPr>
        <w:pStyle w:val="Heading2"/>
        <w:rPr/>
      </w:pPr>
      <w:bookmarkStart w:id="72" w:name="__RefHeading___Toc11056_1564873447"/>
      <w:bookmarkStart w:id="73" w:name="interfaz-común"/>
      <w:bookmarkEnd w:id="72"/>
      <w:r>
        <w:rPr/>
        <w:t>12.1 Interfaz común</w:t>
      </w:r>
    </w:p>
    <w:p>
      <w:pPr>
        <w:pStyle w:val="FirstParagraph"/>
        <w:rPr/>
      </w:pPr>
      <w:r>
        <w:rPr/>
        <w:t xml:space="preserve">Todos los estimadores de confianza implementan </w:t>
      </w:r>
      <w:r>
        <w:rPr>
          <w:rStyle w:val="VerbatimChar"/>
        </w:rPr>
        <w:t>TrustEstimator</w:t>
      </w:r>
      <w:r>
        <w:rPr/>
        <w:t xml:space="preserve"> (</w:t>
      </w:r>
      <w:r>
        <w:rPr>
          <w:rStyle w:val="VerbatimChar"/>
        </w:rPr>
        <w:t>trust/estimators.py</w:t>
      </w:r>
      <w:r>
        <w:rPr/>
        <w:t xml:space="preserve">): </w:t>
      </w:r>
      <w:r>
        <w:rPr>
          <w:rStyle w:val="VerbatimChar"/>
        </w:rPr>
        <w:t>reset(specs, K)</w:t>
      </w:r>
      <w:r>
        <w:rPr/>
        <w:t xml:space="preserve"> y </w:t>
      </w:r>
      <w:r>
        <w:rPr>
          <w:rStyle w:val="VerbatimChar"/>
        </w:rPr>
        <w:t>update(k, eps, S) -&gt; T</w:t>
      </w:r>
      <w:r>
        <w:rPr/>
        <w:t xml:space="preserve">, donde </w:t>
      </w:r>
      <w:r>
        <w:rPr>
          <w:rStyle w:val="VerbatimChar"/>
        </w:rPr>
        <w:t>eps[i]</w:t>
      </w:r>
      <w:r>
        <w:rPr/>
        <w:t xml:space="preserve"> es la innovación estandarizada (o </w:t>
      </w:r>
      <w:r>
        <w:rPr>
          <w:rStyle w:val="VerbatimChar"/>
        </w:rPr>
        <w:t>None</w:t>
      </w:r>
      <w:r>
        <w:rPr/>
        <w:t xml:space="preserve"> si no hay muestra) y </w:t>
      </w:r>
      <w:r>
        <w:rPr>
          <w:rStyle w:val="VerbatimChar"/>
        </w:rPr>
        <w:t>S[i]</w:t>
      </w:r>
      <w:r>
        <w:rPr/>
        <w:t xml:space="preserve"> su covarianza nominal. Disponibles: </w:t>
      </w:r>
      <w:r>
        <w:rPr>
          <w:rStyle w:val="VerbatimChar"/>
        </w:rPr>
        <w:t>first_two_moments</w:t>
      </w:r>
      <w:r>
        <w:rPr/>
        <w:t xml:space="preserve"> (método principal), </w:t>
      </w:r>
      <w:r>
        <w:rPr>
          <w:rStyle w:val="VerbatimChar"/>
        </w:rPr>
        <w:t>first_moment_only</w:t>
      </w:r>
      <w:r>
        <w:rPr/>
        <w:t xml:space="preserve"> y </w:t>
      </w:r>
      <w:r>
        <w:rPr>
          <w:rStyle w:val="VerbatimChar"/>
        </w:rPr>
        <w:t>second_moment_only</w:t>
      </w:r>
      <w:r>
        <w:rPr/>
        <w:t xml:space="preserve"> (ablaciones), </w:t>
      </w:r>
      <w:r>
        <w:rPr>
          <w:rStyle w:val="VerbatimChar"/>
        </w:rPr>
        <w:t>nis_gate</w:t>
      </w:r>
      <w:r>
        <w:rPr/>
        <w:t xml:space="preserve"> (compuerta chi-cuadrado clásica) y </w:t>
      </w:r>
      <w:r>
        <w:rPr>
          <w:rStyle w:val="VerbatimChar"/>
        </w:rPr>
        <w:t>constant</w:t>
      </w:r>
      <w:r>
        <w:rPr/>
        <w:t xml:space="preserve"> (sin adaptación).</w:t>
      </w:r>
      <w:bookmarkEnd w:id="73"/>
    </w:p>
    <w:p>
      <w:pPr>
        <w:pStyle w:val="Heading2"/>
        <w:rPr/>
      </w:pPr>
      <w:bookmarkStart w:id="74" w:name="__RefHeading___Toc11058_1564873447"/>
      <w:bookmarkEnd w:id="74"/>
      <w:r>
        <w:rPr/>
        <w:t>12.2 Estimador de los dos primeros momentos</w:t>
      </w:r>
    </w:p>
    <w:p>
      <w:pPr>
        <w:pStyle w:val="FirstParagraph"/>
        <w:rPr/>
      </w:pPr>
      <w:r>
        <w:rPr/>
        <w:t xml:space="preserve">Con </w:t>
      </w:r>
      <w:r>
        <w:rPr/>
      </w:r>
      <m:oMath xmlns:m="http://schemas.openxmlformats.org/officeDocument/2006/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oMath>
      <w:r>
        <w:rPr/>
        <w:t xml:space="preserve">, </w:t>
      </w:r>
      <w:r>
        <w:rPr/>
      </w:r>
      <m:oMath xmlns:m="http://schemas.openxmlformats.org/officeDocument/2006/math">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oMath>
      <w:r>
        <w:rPr/>
        <w:t xml:space="preserve"> y </w:t>
      </w:r>
      <w:r>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f>
                <m:num>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r>
                        <w:rPr>
                          <w:rFonts w:ascii="Cambria Math" w:hAnsi="Cambria Math"/>
                        </w:rPr>
                        <m:t xml:space="preserve">(</m:t>
                      </m:r>
                      <m:r>
                        <w:rPr>
                          <w:rFonts w:ascii="Cambria Math" w:hAnsi="Cambria Math"/>
                        </w:rPr>
                        <m:t xml:space="preserve">k</m:t>
                      </m:r>
                      <m:r>
                        <w:rPr>
                          <w:rFonts w:ascii="Cambria Math" w:hAnsi="Cambria Math"/>
                        </w:rPr>
                        <m:t xml:space="preserve">)</m:t>
                      </m:r>
                    </m:e>
                  </m:d>
                </m:num>
                <m:den>
                  <m:rad>
                    <m:radPr>
                      <m:degHide m:val="1"/>
                    </m:radPr>
                    <m:deg/>
                    <m:e>
                      <m:r>
                        <w:rPr>
                          <w:rFonts w:ascii="Cambria Math" w:hAnsi="Cambria Math"/>
                        </w:rPr>
                        <m:t xml:space="preserve">m</m:t>
                      </m:r>
                    </m:e>
                  </m:rad>
                </m:den>
              </m:f>
              <m:r>
                <w:rPr>
                  <w:rFonts w:ascii="Cambria Math" w:hAnsi="Cambria Math"/>
                </w:rPr>
                <m:t xml:space="preserve">−</m:t>
              </m:r>
              <m:f>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e>
          </m:d>
          <m:r>
            <w:rPr>
              <w:rFonts w:ascii="Cambria Math" w:hAnsi="Cambria Math"/>
            </w:rPr>
            <m:t xml:space="preserve">,</m:t>
          </m:r>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ad>
                <m:radPr>
                  <m:degHide m:val="1"/>
                </m:radPr>
                <m:deg/>
                <m:e>
                  <m:f>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exp</m:t>
          </m:r>
          <m:d>
            <m:dPr>
              <m:begChr m:val="("/>
              <m:endChr m:val=")"/>
            </m:dPr>
            <m:e>
              <m:r>
                <w:rPr>
                  <w:rFonts w:ascii="Cambria Math" w:hAnsi="Cambria Math"/>
                </w:rPr>
                <m:t xml:space="preserve">−</m:t>
              </m:r>
              <m:f>
                <m:num>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num>
                <m:den>
                  <m:sSub>
                    <m:e>
                      <m:r>
                        <w:rPr>
                          <w:rFonts w:ascii="Cambria Math" w:hAnsi="Cambria Math"/>
                        </w:rPr>
                        <m:t xml:space="preserve">β</m:t>
                      </m:r>
                    </m:e>
                    <m:sub>
                      <m:r>
                        <w:rPr>
                          <w:rFonts w:ascii="Cambria Math" w:hAnsi="Cambria Math"/>
                        </w:rPr>
                        <m:t xml:space="preserve">1</m:t>
                      </m:r>
                    </m:sub>
                  </m:sSub>
                </m:den>
              </m:f>
              <m:r>
                <w:rPr>
                  <w:rFonts w:ascii="Cambria Math" w:hAnsi="Cambria Math"/>
                </w:rPr>
                <m:t xml:space="preserve">−</m:t>
              </m:r>
              <m:f>
                <m:num>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num>
                <m:den>
                  <m:sSub>
                    <m:e>
                      <m:r>
                        <w:rPr>
                          <w:rFonts w:ascii="Cambria Math" w:hAnsi="Cambria Math"/>
                        </w:rPr>
                        <m:t xml:space="preserve">β</m:t>
                      </m:r>
                    </m:e>
                    <m:sub>
                      <m:r>
                        <w:rPr>
                          <w:rFonts w:ascii="Cambria Math" w:hAnsi="Cambria Math"/>
                        </w:rPr>
                        <m:t xml:space="preserve">2</m:t>
                      </m:r>
                    </m:sub>
                  </m:sSub>
                </m:den>
              </m:f>
            </m:e>
          </m:d>
          <m:r>
            <w:rPr>
              <w:rFonts w:ascii="Cambria Math" w:hAnsi="Cambria Math"/>
            </w:rPr>
            <m:t xml:space="preserve">.</m:t>
          </m:r>
        </m:oMath>
      </m:oMathPara>
    </w:p>
    <w:p>
      <w:pPr>
        <w:pStyle w:val="FirstParagraph"/>
        <w:rPr/>
      </w:pPr>
      <w:r>
        <w:rPr/>
      </w:r>
      <m:oMath xmlns:m="http://schemas.openxmlformats.org/officeDocument/2006/math">
        <m:f>
          <m:fPr>
            <m:type m:val="lin"/>
          </m:fPr>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oMath>
      <w:r>
        <w:rPr/>
        <w:t xml:space="preserve"> </w:t>
      </w:r>
      <w:r>
        <w:rPr/>
        <w:t xml:space="preserve">y </w:t>
      </w:r>
      <w:r>
        <w:rPr/>
      </w:r>
      <m:oMath xmlns:m="http://schemas.openxmlformats.org/officeDocument/2006/math">
        <m:sSub>
          <m:e>
            <m:r>
              <w:rPr>
                <w:rFonts w:ascii="Cambria Math" w:hAnsi="Cambria Math"/>
              </w:rPr>
              <m:t xml:space="preserve">γ</m:t>
            </m:r>
          </m:e>
          <m:sub>
            <m:r>
              <w:rPr>
                <w:rFonts w:ascii="Cambria Math" w:hAnsi="Cambria Math"/>
              </w:rPr>
              <m:t xml:space="preserve">2</m:t>
            </m:r>
          </m:sub>
        </m:sSub>
        <m:rad>
          <m:radPr>
            <m:degHide m:val="1"/>
          </m:radPr>
          <m:deg/>
          <m:e>
            <m:f>
              <m:fPr>
                <m:type m:val="lin"/>
              </m:fPr>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oMath>
      <w:r>
        <w:rPr/>
        <w:t xml:space="preserve"> son zonas muertas estadísticas (</w:t>
      </w:r>
      <w:r>
        <w:rPr/>
      </w:r>
      <m:oMath xmlns:m="http://schemas.openxmlformats.org/officeDocument/2006/math">
        <m:r>
          <w:rPr>
            <w:rFonts w:ascii="Cambria Math" w:hAnsi="Cambria Math"/>
          </w:rPr>
          <m:t xml:space="preserve">γ</m:t>
        </m:r>
      </m:oMath>
      <w:r>
        <w:rPr/>
        <w:t xml:space="preserve"> desviaciones estándar de los estimadores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es el exceso de media (en desviaciones de la innovación) que divide la confianza por </w:t>
      </w:r>
      <w:r>
        <w:rPr/>
      </w:r>
      <m:oMath xmlns:m="http://schemas.openxmlformats.org/officeDocument/2006/math">
        <m:r>
          <w:rPr>
            <w:rFonts w:ascii="Cambria Math" w:hAnsi="Cambria Math"/>
          </w:rPr>
          <m:t xml:space="preserve">e</m:t>
        </m:r>
      </m:oMath>
      <w:r>
        <w:rPr/>
        <w:t xml:space="preserve"> y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t xml:space="preserve"> el exceso análogo de varianza; </w:t>
      </w:r>
      <w:r>
        <w:rPr/>
      </w:r>
      <m:oMath xmlns:m="http://schemas.openxmlformats.org/officeDocument/2006/math">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oMath>
      <w:r>
        <w:rPr/>
        <w:t xml:space="preserve"> es la confiabilidad nominal. Con </w:t>
      </w:r>
      <w:r>
        <w:rPr>
          <w:rStyle w:val="VerbatimChar"/>
        </w:rPr>
        <w:t>dispersion: second_moment</w:t>
      </w:r>
      <w:r>
        <w:rPr/>
        <w:t xml:space="preserve"> se usa </w:t>
      </w:r>
      <w:r>
        <w:rPr/>
      </w:r>
      <m:oMath xmlns:m="http://schemas.openxmlformats.org/officeDocument/2006/math">
        <m:sSub>
          <m:e>
            <m:acc>
              <m:accPr>
                <m:chr m:val="^"/>
              </m:accPr>
              <m:e>
                <m:r>
                  <w:rPr>
                    <w:rFonts w:ascii="Cambria Math" w:hAnsi="Cambria Math"/>
                  </w:rPr>
                  <m:t xml:space="preserve">m</m:t>
                </m:r>
              </m:e>
            </m:acc>
          </m:e>
          <m:sub>
            <m:r>
              <w:rPr>
                <w:rFonts w:ascii="Cambria Math" w:hAnsi="Cambria Math"/>
              </w:rPr>
              <m:t xml:space="preserve">2</m:t>
            </m:r>
          </m:sub>
        </m:sSub>
      </m:oMath>
      <w:r>
        <w:rPr/>
        <w:t xml:space="preserve"> en lugar de </w:t>
      </w:r>
      <w:r>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r>
        <w:rPr/>
        <w:t xml:space="preserve"> en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oMath>
      <w:r>
        <w:rPr/>
        <w:t>.</w:t>
      </w:r>
    </w:p>
    <w:p>
      <w:pPr>
        <w:pStyle w:val="BodyText"/>
        <w:rPr/>
      </w:pPr>
      <w:r>
        <w:rPr/>
        <w:t>La dinámica de confianza es asimétrica (rápida al disminuir, lenta al recuperarse):</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d>
                    <m:dPr>
                      <m:begChr m:val="["/>
                      <m:endChr m:val="]"/>
                    </m:dPr>
                    <m:e>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d>
                </m:e>
              </m:d>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η</m:t>
          </m:r>
          <m:r>
            <w:rPr>
              <w:rFonts w:ascii="Cambria Math" w:hAnsi="Cambria Math"/>
            </w:rPr>
            <m:t xml:space="preserve">=</m:t>
          </m:r>
          <m:sSub>
            <m:e>
              <m:r>
                <w:rPr>
                  <w:rFonts w:ascii="Cambria Math" w:hAnsi="Cambria Math"/>
                </w:rPr>
                <m:t xml:space="preserve">η</m:t>
              </m:r>
            </m:e>
            <m:sub>
              <m:r>
                <w:rPr>
                  <w:rFonts w:ascii="Cambria Math" w:hAnsi="Cambria Math"/>
                </w:rPr>
                <m:t xml:space="preserve">↓</m:t>
              </m:r>
            </m:sub>
          </m:sSub>
          <m:r>
            <m:rPr>
              <m:lit/>
              <m:nor/>
            </m:rPr>
            <w:rPr>
              <w:rFonts w:ascii="Cambria Math" w:hAnsi="Cambria Math"/>
            </w:rPr>
            <m:t xml:space="preserve">si</m:t>
          </m:r>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&lt;</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η</m:t>
              </m:r>
            </m:e>
            <m:sub>
              <m:r>
                <w:rPr>
                  <w:rFonts w:ascii="Cambria Math" w:hAnsi="Cambria Math"/>
                </w:rPr>
                <m:t xml:space="preserve">↑</m:t>
              </m:r>
            </m:sub>
          </m:sSub>
          <m:r>
            <m:rPr>
              <m:lit/>
              <m:nor/>
            </m:rPr>
            <w:rPr>
              <w:rFonts w:ascii="Cambria Math" w:hAnsi="Cambria Math"/>
            </w:rPr>
            <m:t xml:space="preserve">en otro caso.</m:t>
          </m:r>
        </m:oMath>
      </m:oMathPara>
    </w:p>
    <w:p>
      <w:pPr>
        <w:pStyle w:val="FirstParagraph"/>
        <w:rPr/>
      </w:pPr>
      <w:r>
        <w:rPr/>
        <w:t>Si un sensor no produce muestra, sus momentos y su confianza se mantienen. Parámetros y valores por defecto: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7"/>
        <w:gridCol w:w="4957"/>
        <w:gridCol w:w="2338"/>
      </w:tblGrid>
      <w:tr>
        <w:trPr>
          <w:tblHeader w:val="true"/>
        </w:trPr>
        <w:tc>
          <w:tcPr>
            <w:tcW w:w="233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Símbolo</w:t>
            </w:r>
          </w:p>
        </w:tc>
        <w:tc>
          <w:tcPr>
            <w:tcW w:w="49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Clave de configuración</w:t>
            </w:r>
          </w:p>
        </w:tc>
        <w:tc>
          <w:tcPr>
            <w:tcW w:w="233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Valor por defecto</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estimador de momentos</w:t>
            </w:r>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estimator</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ewma</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
                  <w:rPr>
                    <w:rFonts w:ascii="Cambria Math" w:hAnsi="Cambria Math"/>
                  </w:rPr>
                  <m:t xml:space="preserve">λ</m:t>
                </m:r>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ewma_lambda</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r>
                  <w:rPr>
                    <w:rFonts w:ascii="Cambria Math" w:hAnsi="Cambria Math"/>
                  </w:rPr>
                  <m:t xml:space="preserve">N</m:t>
                </m:r>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window_length</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γ</m:t>
                    </m:r>
                  </m:e>
                  <m:sub>
                    <m:r>
                      <w:rPr>
                        <w:rFonts w:ascii="Cambria Math" w:hAnsi="Cambria Math"/>
                      </w:rPr>
                      <m:t xml:space="preserve">1</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mean_deadzone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γ</m:t>
                    </m:r>
                  </m:e>
                  <m:sub>
                    <m:r>
                      <w:rPr>
                        <w:rFonts w:ascii="Cambria Math" w:hAnsi="Cambria Math"/>
                      </w:rPr>
                      <m:t xml:space="preserve">2</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dispersion_deadzone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1</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mean_scale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2</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dispersion_scale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η</m:t>
                    </m:r>
                  </m:e>
                  <m:sub>
                    <m:r>
                      <w:rPr>
                        <w:rFonts w:ascii="Cambria Math" w:hAnsi="Cambria Math"/>
                      </w:rPr>
                      <m:t xml:space="preserve">↓</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trust_decrease_rate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η</m:t>
                    </m:r>
                  </m:e>
                  <m:sub>
                    <m:r>
                      <w:rPr>
                        <w:rFonts w:ascii="Cambria Math" w:hAnsi="Cambria Math"/>
                      </w:rPr>
                      <m:t xml:space="preserve">↑</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trust_recovery_rate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trust_floor</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uso de </w:t>
            </w:r>
            <w:r>
              <w:rPr>
                <w:rFonts w:eastAsia="" w:cs=""/>
                <w:kern w:val="0"/>
                <w:szCs w:val="24"/>
                <w:lang w:val="en-US" w:eastAsia="zh-CN" w:bidi="ar-SA"/>
              </w:rPr>
            </w:r>
            <m:oMath xmlns:m="http://schemas.openxmlformats.org/officeDocument/2006/math">
              <m:acc>
                <m:accPr>
                  <m:chr m:val="^"/>
                </m:accPr>
                <m:e>
                  <m:r>
                    <w:rPr>
                      <w:rFonts w:ascii="Cambria Math" w:hAnsi="Cambria Math"/>
                    </w:rPr>
                    <m:t xml:space="preserve">μ</m:t>
                  </m:r>
                </m:e>
              </m:acc>
            </m:oMath>
            <w:r>
              <w:rPr>
                <w:rFonts w:eastAsia="" w:cs=""/>
                <w:kern w:val="0"/>
                <w:sz w:val="17"/>
                <w:szCs w:val="24"/>
                <w:lang w:val="en-US" w:eastAsia="zh-CN" w:bidi="ar-SA"/>
              </w:rPr>
              <w:t xml:space="preserve"> / </w:t>
            </w:r>
            <w:r>
              <w:rPr>
                <w:rFonts w:eastAsia="" w:cs=""/>
                <w:kern w:val="0"/>
                <w:szCs w:val="24"/>
                <w:lang w:val="en-US" w:eastAsia="zh-CN" w:bidi="ar-SA"/>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use_first_moment</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use_second_moment</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verdadero</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referencia de consenso</w:t>
            </w:r>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consensus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consensus_min_sensors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consensus_trust_fraction</w:t>
            </w:r>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sSub>
                <m:e>
                  <m:r>
                    <w:rPr>
                      <w:rFonts w:ascii="Cambria Math" w:hAnsi="Cambria Math"/>
                    </w:rPr>
                    <m:t xml:space="preserve">f</m:t>
                  </m:r>
                </m:e>
                <m:sub>
                  <m:r>
                    <w:rPr>
                      <w:rFonts w:ascii="Cambria Math" w:hAnsi="Cambria Math"/>
                    </w:rPr>
                    <m:t xml:space="preserve">c</m:t>
                  </m:r>
                </m:sub>
              </m:sSub>
            </m:oMath>
            <w:r>
              <w:rPr>
                <w:rFonts w:eastAsia="" w:cs=""/>
                <w:kern w:val="0"/>
                <w:sz w:val="17"/>
                <w:szCs w:val="24"/>
                <w:lang w:val="en-US" w:eastAsia="zh-CN" w:bidi="ar-SA"/>
              </w:rPr>
              <w:t xml:space="preserve">), </w:t>
            </w:r>
            <w:r>
              <w:rPr>
                <w:rStyle w:val="VerbatimChar"/>
                <w:rFonts w:eastAsia="" w:cs=""/>
                <w:kern w:val="0"/>
                <w:sz w:val="17"/>
                <w:szCs w:val="24"/>
                <w:lang w:val="en-US" w:eastAsia="zh-CN" w:bidi="ar-SA"/>
              </w:rPr>
              <w:t>consensus_memory_samples</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verdadero, 3, 0.5, 200</w:t>
            </w:r>
            <w:bookmarkStart w:id="75" w:name="estimador-de-los-dos-primeros-momentos"/>
            <w:bookmarkEnd w:id="75"/>
          </w:p>
        </w:tc>
      </w:tr>
    </w:tbl>
    <w:p>
      <w:pPr>
        <w:pStyle w:val="Heading2"/>
        <w:rPr/>
      </w:pPr>
      <w:bookmarkStart w:id="76" w:name="__RefHeading___Toc11060_1564873447"/>
      <w:bookmarkEnd w:id="76"/>
      <w:r>
        <w:rPr/>
        <w:t>12.3 Compuerta NIS (referencia clásica)</w:t>
      </w:r>
    </w:p>
    <w:p>
      <w:pPr>
        <w:pStyle w:val="FirstParagraph"/>
        <w:rPr/>
      </w:pP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oMath>
      <w:r>
        <w:rPr/>
        <w:t xml:space="preserve"> </w:t>
      </w:r>
      <w:r>
        <w:rPr/>
        <w:t xml:space="preserve">si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χ</m:t>
            </m:r>
          </m:e>
          <m:sub>
            <m:r>
              <w:rPr>
                <w:rFonts w:ascii="Cambria Math" w:hAnsi="Cambria Math"/>
              </w:rPr>
              <m:t xml:space="preserve">m</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oMath>
      <w:r>
        <w:rPr/>
        <w:t xml:space="preserve"> y </w:t>
      </w:r>
      <w:r>
        <w:rPr/>
      </w:r>
      <m:oMath xmlns:m="http://schemas.openxmlformats.org/officeDocument/2006/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w:r>
        <w:rPr/>
        <w:t xml:space="preserve"> en caso contrario (sin memoria).</w:t>
      </w:r>
    </w:p>
    <w:p>
      <w:pPr>
        <w:pStyle w:val="Heading2"/>
        <w:rPr/>
      </w:pPr>
      <w:bookmarkStart w:id="77" w:name="__RefHeading___Toc11062_1564873447"/>
      <w:bookmarkStart w:id="78" w:name="detección-de-degradación"/>
      <w:bookmarkEnd w:id="77"/>
      <w:r>
        <w:rPr/>
        <w:t>12.4 Detección de degradación</w:t>
      </w:r>
    </w:p>
    <w:p>
      <w:pPr>
        <w:pStyle w:val="FirstParagraph"/>
        <w:rPr/>
      </w:pPr>
      <w:r>
        <w:rPr/>
        <w:t xml:space="preserve">La detección,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está separada conceptualmente de la ponderación (</w:t>
      </w:r>
      <w:r>
        <w:rPr>
          <w:rStyle w:val="VerbatimChar"/>
        </w:rPr>
        <w:t>trust/detection.py</w:t>
      </w:r>
      <w:r>
        <w:rPr/>
        <w:t xml:space="preserve">): un método puede reducir la confianza sin declarar alarma y un detector no modifica pesos. El detector </w:t>
      </w:r>
      <w:r>
        <w:rPr>
          <w:rStyle w:val="VerbatimChar"/>
        </w:rPr>
        <w:t>moment_test</w:t>
      </w:r>
      <w:r>
        <w:rPr/>
        <w:t xml:space="preserve"> usa pruebas sobre los mismos momentos: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prueba de media:</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sSup>
            <m:e>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e>
              </m:d>
            </m:e>
            <m:sup>
              <m:r>
                <w:rPr>
                  <w:rFonts w:ascii="Cambria Math" w:hAnsi="Cambria Math"/>
                </w:rPr>
                <m:t xml:space="preserve">2</m:t>
              </m:r>
            </m:sup>
          </m:sSup>
          <m:r>
            <w:rPr>
              <w:rFonts w:ascii="Cambria Math" w:hAnsi="Cambria Math"/>
            </w:rPr>
            <m:t xml:space="preserve">&gt;</m:t>
          </m:r>
          <m:sSubSup>
            <m:e>
              <m:r>
                <w:rPr>
                  <w:rFonts w:ascii="Cambria Math" w:hAnsi="Cambria Math"/>
                </w:rPr>
                <m:t xml:space="preserve">χ</m:t>
              </m:r>
            </m:e>
            <m:sub>
              <m:r>
                <w:rPr>
                  <w:rFonts w:ascii="Cambria Math" w:hAnsi="Cambria Math"/>
                </w:rPr>
                <m:t xml:space="preserve">m</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r>
            <w:rPr>
              <w:rFonts w:ascii="Cambria Math" w:hAnsi="Cambria Math"/>
            </w:rPr>
            <m:t xml:space="preserve">;</m:t>
          </m:r>
          <m:r>
            <m:rPr>
              <m:lit/>
              <m:nor/>
            </m:rPr>
            <w:rPr>
              <w:rFonts w:ascii="Cambria Math" w:hAnsi="Cambria Math"/>
            </w:rPr>
            <m:t xml:space="preserve">prueba de dispersión:</m:t>
          </m:r>
          <m:r>
            <w:rPr>
              <w:rFonts w:ascii="Cambria Math" w:hAnsi="Cambria Math"/>
            </w:rPr>
            <m:t xml:space="preserve">ν</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&gt;</m:t>
          </m:r>
          <m:sSubSup>
            <m:e>
              <m:r>
                <w:rPr>
                  <w:rFonts w:ascii="Cambria Math" w:hAnsi="Cambria Math"/>
                </w:rPr>
                <m:t xml:space="preserve">χ</m:t>
              </m:r>
            </m:e>
            <m:sub>
              <m:r>
                <w:rPr>
                  <w:rFonts w:ascii="Cambria Math" w:hAnsi="Cambria Math"/>
                </w:rPr>
                <m:t xml:space="preserve">ν</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r>
            <w:rPr>
              <w:rFonts w:ascii="Cambria Math" w:hAnsi="Cambria Math"/>
            </w:rPr>
            <m:t xml:space="preserve">,</m:t>
          </m:r>
          <m:r>
            <w:rPr>
              <w:rFonts w:ascii="Cambria Math" w:hAnsi="Cambria Math"/>
            </w:rPr>
            <m:t xml:space="preserve">ν</m:t>
          </m:r>
          <m:r>
            <w:rPr>
              <w:rFonts w:ascii="Cambria Math" w:hAnsi="Cambria Math"/>
            </w:rPr>
            <m:t xml:space="preserve">=</m:t>
          </m:r>
          <m:r>
            <w:rPr>
              <w:rFonts w:ascii="Cambria Math" w:hAnsi="Cambria Math"/>
            </w:rPr>
            <m:t xml:space="preserve">m</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oMath>
      </m:oMathPara>
    </w:p>
    <w:p>
      <w:pPr>
        <w:pStyle w:val="FirstParagraph"/>
        <w:rPr/>
      </w:pPr>
      <w:r>
        <w:rPr/>
        <w:t xml:space="preserve">(la media de </w:t>
      </w:r>
      <w:r>
        <w:rPr/>
      </w:r>
      <m:oMath xmlns:m="http://schemas.openxmlformats.org/officeDocument/2006/math">
        <m:f>
          <m:fPr>
            <m:type m:val="lin"/>
          </m:fPr>
          <m:num>
            <m:sSup>
              <m:e>
                <m:d>
                  <m:dPr>
                    <m:begChr m:val="‖"/>
                    <m:endChr m:val="‖"/>
                  </m:dPr>
                  <m:e>
                    <m:r>
                      <w:rPr>
                        <w:rFonts w:ascii="Cambria Math" w:hAnsi="Cambria Math"/>
                      </w:rPr>
                      <m:t xml:space="preserve">ε</m:t>
                    </m:r>
                  </m:e>
                </m:d>
              </m:e>
              <m:sup>
                <m:r>
                  <w:rPr>
                    <w:rFonts w:ascii="Cambria Math" w:hAnsi="Cambria Math"/>
                  </w:rPr>
                  <m:t xml:space="preserve">2</m:t>
                </m:r>
              </m:sup>
            </m:sSup>
          </m:num>
          <m:den>
            <m:r>
              <w:rPr>
                <w:rFonts w:ascii="Cambria Math" w:hAnsi="Cambria Math"/>
              </w:rPr>
              <m:t xml:space="preserve">m</m:t>
            </m:r>
          </m:den>
        </m:f>
      </m:oMath>
      <w:r>
        <w:rPr/>
        <w:t xml:space="preserve"> se aproxima por una chi-cuadrado escalada, más precisa en la cola derecha que la aproximación gaussiana).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pasa a 1 tras </w:t>
      </w:r>
      <w:r>
        <w:rPr>
          <w:rStyle w:val="VerbatimChar"/>
        </w:rPr>
        <w:t>alarm_on_samples</w:t>
      </w:r>
      <w:r>
        <w:rPr/>
        <w:t xml:space="preserve"> alarmas crudas consecutivas y vuelve a 0 tras </w:t>
      </w:r>
      <w:r>
        <w:rPr>
          <w:rStyle w:val="VerbatimChar"/>
        </w:rPr>
        <w:t>alarm_off_samples</w:t>
      </w:r>
      <w:r>
        <w:rPr/>
        <w:t xml:space="preserve"> muestras consecutivas sin alarma (histéresis). El detector </w:t>
      </w:r>
      <w:r>
        <w:rPr>
          <w:rStyle w:val="VerbatimChar"/>
        </w:rPr>
        <w:t>trust_threshold</w:t>
      </w:r>
      <w:r>
        <w:rPr/>
        <w:t xml:space="preserve"> declara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oMath>
      <w:r>
        <w:rPr/>
        <w:t xml:space="preserve"> cuando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oMath>
      <w:r>
        <w:rPr/>
        <w:t xml:space="preserve"> permanece bajo un umbral y lo libera sobre otro. Se almacenan el instante real del fallo y el instante de detección para calcular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a</m:t>
            </m:r>
            <m:r>
              <w:rPr>
                <w:rFonts w:ascii="Cambria Math" w:hAnsi="Cambria Math"/>
              </w:rPr>
              <m:t xml:space="preserve">u</m:t>
            </m:r>
            <m:r>
              <w:rPr>
                <w:rFonts w:ascii="Cambria Math" w:hAnsi="Cambria Math"/>
              </w:rPr>
              <m:t xml:space="preserve">l</m:t>
            </m:r>
            <m:r>
              <w:rPr>
                <w:rFonts w:ascii="Cambria Math" w:hAnsi="Cambria Math"/>
              </w:rPr>
              <m:t xml:space="preserve">t</m:t>
            </m:r>
          </m:sub>
        </m:sSub>
      </m:oMath>
      <w:r>
        <w:rPr/>
        <w:t>.</w:t>
      </w:r>
      <w:bookmarkEnd w:id="71"/>
      <w:bookmarkEnd w:id="78"/>
    </w:p>
    <w:p>
      <w:pPr>
        <w:pStyle w:val="Heading1"/>
        <w:rPr/>
      </w:pPr>
      <w:bookmarkStart w:id="79" w:name="__RefHeading___Toc11064_1564873447"/>
      <w:bookmarkEnd w:id="79"/>
      <w:r>
        <w:rPr/>
        <w:t>13. Algoritmos de fusión</w:t>
      </w:r>
    </w:p>
    <w:p>
      <w:pPr>
        <w:pStyle w:val="FirstParagraph"/>
        <w:rPr/>
      </w:pPr>
      <w:r>
        <w:rPr/>
        <w:t xml:space="preserve">Todos los métodos implementan </w:t>
      </w:r>
      <w:r>
        <w:rPr>
          <w:rStyle w:val="VerbatimChar"/>
        </w:rPr>
        <w:t>FusionMethod.run(meas, model, oracle) -&gt; MethodResult</w:t>
      </w:r>
      <w:r>
        <w:rPr/>
        <w:t xml:space="preserve"> (</w:t>
      </w:r>
      <w:r>
        <w:rPr>
          <w:rStyle w:val="VerbatimChar"/>
        </w:rPr>
        <w:t>fusion/</w:t>
      </w:r>
      <w:r>
        <w:rPr/>
        <w:t xml:space="preserve">). </w:t>
      </w:r>
      <w:r>
        <w:rPr>
          <w:rStyle w:val="VerbatimChar"/>
        </w:rPr>
        <w:t>MethodResult</w:t>
      </w:r>
      <w:r>
        <w:rPr/>
        <w:t xml:space="preserve"> contiene la estimación,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xml:space="preserve"> (si existe), innovaciones, NIS, confianza, pesos, alarmas, momentos, </w:t>
      </w:r>
      <w:r>
        <w:rPr/>
      </w:r>
      <m:oMath xmlns:m="http://schemas.openxmlformats.org/officeDocument/2006/math">
        <m:sSup>
          <m:e>
            <m:r>
              <w:rPr>
                <w:rFonts w:ascii="Cambria Math" w:hAnsi="Cambria Math"/>
              </w:rPr>
              <m:t xml:space="preserve">R</m:t>
            </m:r>
          </m:e>
          <m:sup>
            <m:r>
              <w:rPr>
                <w:rFonts w:ascii="Cambria Math" w:hAnsi="Cambria Math"/>
              </w:rPr>
              <m:t xml:space="preserve">e</m:t>
            </m:r>
            <m:r>
              <w:rPr>
                <w:rFonts w:ascii="Cambria Math" w:hAnsi="Cambria Math"/>
              </w:rPr>
              <m:t xml:space="preserve">f</m:t>
            </m:r>
            <m:r>
              <w:rPr>
                <w:rFonts w:ascii="Cambria Math" w:hAnsi="Cambria Math"/>
              </w:rPr>
              <m:t xml:space="preserve">f</m:t>
            </m:r>
          </m:sup>
        </m:sSup>
      </m:oMath>
      <w:r>
        <w:rPr/>
        <w:t xml:space="preserve"> y </w:t>
      </w:r>
      <w:r>
        <w:rPr/>
      </w:r>
      <m:oMath xmlns:m="http://schemas.openxmlformats.org/officeDocument/2006/math">
        <m:acc>
          <m:accPr>
            <m:chr m:val="^"/>
          </m:accPr>
          <m:e>
            <m:r>
              <w:rPr>
                <w:rFonts w:ascii="Cambria Math" w:hAnsi="Cambria Math"/>
              </w:rPr>
              <m:t xml:space="preserve">R</m:t>
            </m:r>
          </m:e>
        </m:acc>
      </m:oMath>
      <w:r>
        <w:rPr/>
        <w:t>.</w:t>
      </w:r>
    </w:p>
    <w:p>
      <w:pPr>
        <w:pStyle w:val="Heading2"/>
        <w:rPr/>
      </w:pPr>
      <w:bookmarkStart w:id="80" w:name="__RefHeading___Toc11066_1564873447"/>
      <w:bookmarkStart w:id="81" w:name="métodos-de-referencia-estáticos"/>
      <w:bookmarkEnd w:id="80"/>
      <w:r>
        <w:rPr/>
        <w:t>13.1 Métodos de referencia estáticos</w:t>
      </w:r>
    </w:p>
    <w:p>
      <w:pPr>
        <w:pStyle w:val="FirstParagraph"/>
        <w:rPr/>
      </w:pPr>
      <w:r>
        <w:rPr/>
        <w:t xml:space="preserve">Válidos solo cuando todos los sensores miden directamente la misma componente </w:t>
      </w:r>
      <w:r>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t xml:space="preserve"> (en otro caso se reportan como «no aplicables»); estiman únicamente </w:t>
      </w:r>
      <w:r>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t xml:space="preserve"> y, si no hay muestras, mantienen el último valor:</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z</m:t>
                  </m:r>
                </m:e>
                <m:sub>
                  <m:r>
                    <w:rPr>
                      <w:rFonts w:ascii="Cambria Math" w:hAnsi="Cambria Math"/>
                    </w:rPr>
                    <m:t xml:space="preserve">i</m:t>
                  </m:r>
                </m:sub>
              </m:sSub>
            </m:e>
          </m:nary>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f>
            <m:num>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z</m:t>
                  </m:r>
                </m:e>
                <m:sub>
                  <m:r>
                    <w:rPr>
                      <w:rFonts w:ascii="Cambria Math" w:hAnsi="Cambria Math"/>
                    </w:rPr>
                    <m:t xml:space="preserve">i</m:t>
                  </m:r>
                </m:sub>
              </m:sSub>
            </m:num>
            <m:den>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w</m:t>
                      </m:r>
                    </m:e>
                    <m:sub>
                      <m:r>
                        <w:rPr>
                          <w:rFonts w:ascii="Cambria Math" w:hAnsi="Cambria Math"/>
                        </w:rPr>
                        <m:t xml:space="preserve">i</m:t>
                      </m:r>
                    </m:sub>
                  </m:sSub>
                </m:e>
              </m:nary>
            </m:den>
          </m:f>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2</m:t>
                  </m:r>
                </m:sup>
              </m:sSubSup>
            </m:den>
          </m:f>
          <m:r>
            <m:rPr>
              <m:lit/>
              <m:nor/>
            </m:rPr>
            <w:rPr>
              <w:rFonts w:ascii="Cambria Math" w:hAnsi="Cambria Math"/>
            </w:rPr>
            <m:t xml:space="preserve">\(inverso de varianza\)</m:t>
          </m:r>
          <m:r>
            <w:rPr>
              <w:rFonts w:ascii="Cambria Math" w:hAnsi="Cambria Math"/>
            </w:rPr>
            <m:t xml:space="preserve">.</m:t>
          </m:r>
        </m:oMath>
      </m:oMathPara>
    </w:p>
    <w:p>
      <w:pPr>
        <w:pStyle w:val="FirstParagraph"/>
        <w:rPr/>
      </w:pPr>
      <w:r>
        <w:rPr/>
        <w:t xml:space="preserve">El </w:t>
      </w:r>
      <w:r>
        <w:rPr>
          <w:b/>
          <w:bCs/>
        </w:rPr>
        <w:t>mejor sensor (oráculo)</w:t>
      </w:r>
      <w:r>
        <w:rPr/>
        <w:t xml:space="preserve"> selecciona, con el valor verdadero y fuera de línea, el sensor de menor RMSE; es una referencia ideal no realizable.</w:t>
      </w:r>
      <w:bookmarkEnd w:id="81"/>
    </w:p>
    <w:p>
      <w:pPr>
        <w:pStyle w:val="Heading2"/>
        <w:rPr/>
      </w:pPr>
      <w:bookmarkStart w:id="82" w:name="__RefHeading___Toc11068_1564873447"/>
      <w:bookmarkStart w:id="83" w:name="fusión-centralizada"/>
      <w:bookmarkEnd w:id="82"/>
      <w:r>
        <w:rPr/>
        <w:t>13.2 Fusión centralizada</w:t>
      </w:r>
    </w:p>
    <w:p>
      <w:pPr>
        <w:pStyle w:val="FirstParagraph"/>
        <w:rPr/>
      </w:pPr>
      <w:r>
        <w:rPr/>
        <w:t>Las mediciones disponibles se apilan</w:t>
      </w:r>
    </w:p>
    <w:p>
      <w:pPr>
        <w:pStyle w:val="BodyText"/>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d>
            <m:dPr>
              <m:begChr m:val="["/>
              <m:endChr m:val="]"/>
            </m:dPr>
            <m:e>
              <m:m>
                <m:mr>
                  <m:e>
                    <m:sSub>
                      <m:e>
                        <m:r>
                          <w:rPr>
                            <w:rFonts w:ascii="Cambria Math" w:hAnsi="Cambria Math"/>
                          </w:rPr>
                          <m:t xml:space="preserve">z</m:t>
                        </m:r>
                      </m:e>
                      <m:sub>
                        <m:r>
                          <w:rPr>
                            <w:rFonts w:ascii="Cambria Math" w:hAnsi="Cambria Math"/>
                          </w:rPr>
                          <m:t xml:space="preserve">1</m:t>
                        </m:r>
                        <m:r>
                          <w:rPr>
                            <w:rFonts w:ascii="Cambria Math" w:hAnsi="Cambria Math"/>
                          </w:rPr>
                          <m:t xml:space="preserve">,</m:t>
                        </m:r>
                        <m:r>
                          <w:rPr>
                            <w:rFonts w:ascii="Cambria Math" w:hAnsi="Cambria Math"/>
                          </w:rPr>
                          <m:t xml:space="preserve">k</m:t>
                        </m:r>
                      </m:sub>
                    </m:sSub>
                  </m:e>
                </m:mr>
                <m:mr>
                  <m:e>
                    <m:r>
                      <w:rPr>
                        <w:rFonts w:ascii="Cambria Math" w:hAnsi="Cambria Math"/>
                      </w:rPr>
                      <m:t xml:space="preserve">⋮</m:t>
                    </m:r>
                  </m:e>
                </m:mr>
                <m:mr>
                  <m:e>
                    <m:sSub>
                      <m:e>
                        <m:r>
                          <w:rPr>
                            <w:rFonts w:ascii="Cambria Math" w:hAnsi="Cambria Math"/>
                          </w:rPr>
                          <m:t xml:space="preserve">z</m:t>
                        </m:r>
                      </m:e>
                      <m:sub>
                        <m:r>
                          <w:rPr>
                            <w:rFonts w:ascii="Cambria Math" w:hAnsi="Cambria Math"/>
                          </w:rPr>
                          <m:t xml:space="preserve">N</m:t>
                        </m:r>
                        <m:r>
                          <w:rPr>
                            <w:rFonts w:ascii="Cambria Math" w:hAnsi="Cambria Math"/>
                          </w:rPr>
                          <m:t xml:space="preserve">,</m:t>
                        </m:r>
                        <m:r>
                          <w:rPr>
                            <w:rFonts w:ascii="Cambria Math" w:hAnsi="Cambria Math"/>
                          </w:rPr>
                          <m:t xml:space="preserve">k</m:t>
                        </m:r>
                      </m:sub>
                    </m:sSub>
                  </m:e>
                </m:mr>
              </m:m>
            </m:e>
          </m:d>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m>
                <m:mr>
                  <m:e>
                    <m:sSub>
                      <m:e>
                        <m:r>
                          <w:rPr>
                            <w:rFonts w:ascii="Cambria Math" w:hAnsi="Cambria Math"/>
                          </w:rPr>
                          <m:t xml:space="preserve">H</m:t>
                        </m:r>
                      </m:e>
                      <m:sub>
                        <m:r>
                          <w:rPr>
                            <w:rFonts w:ascii="Cambria Math" w:hAnsi="Cambria Math"/>
                          </w:rPr>
                          <m:t xml:space="preserve">1</m:t>
                        </m:r>
                      </m:sub>
                    </m:sSub>
                  </m:e>
                </m:mr>
                <m:mr>
                  <m:e>
                    <m:r>
                      <w:rPr>
                        <w:rFonts w:ascii="Cambria Math" w:hAnsi="Cambria Math"/>
                      </w:rPr>
                      <m:t xml:space="preserve">⋮</m:t>
                    </m:r>
                  </m:e>
                </m:mr>
                <m:mr>
                  <m:e>
                    <m:sSub>
                      <m:e>
                        <m:r>
                          <w:rPr>
                            <w:rFonts w:ascii="Cambria Math" w:hAnsi="Cambria Math"/>
                          </w:rPr>
                          <m:t xml:space="preserve">H</m:t>
                        </m:r>
                      </m:e>
                      <m:sub>
                        <m:r>
                          <w:rPr>
                            <w:rFonts w:ascii="Cambria Math" w:hAnsi="Cambria Math"/>
                          </w:rPr>
                          <m:t xml:space="preserve">N</m:t>
                        </m:r>
                      </m:sub>
                    </m:sSub>
                  </m:e>
                </m:mr>
              </m:m>
            </m:e>
          </m:d>
          <m:r>
            <w:rPr>
              <w:rFonts w:ascii="Cambria Math" w:hAnsi="Cambria Math"/>
            </w:rPr>
            <m:t xml:space="preserve">,</m:t>
          </m:r>
          <m:sSubSup>
            <m:e>
              <m:r>
                <w:rPr>
                  <w:rFonts w:ascii="Cambria Math" w:hAnsi="Cambria Math"/>
                </w:rPr>
                <m:t xml:space="preserve">R</m:t>
              </m:r>
            </m:e>
            <m:sub>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b</m:t>
          </m:r>
          <m:r>
            <w:rPr>
              <w:rFonts w:ascii="Cambria Math" w:hAnsi="Cambria Math"/>
            </w:rPr>
            <m:t xml:space="preserve">l</m:t>
          </m:r>
          <m:r>
            <w:rPr>
              <w:rFonts w:ascii="Cambria Math" w:hAnsi="Cambria Math"/>
            </w:rPr>
            <m:t xml:space="preserve">k</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d>
            <m:dPr>
              <m:begChr m:val="("/>
              <m:endChr m:val=")"/>
            </m:dPr>
            <m:e>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e>
          </m:d>
          <m:r>
            <w:rPr>
              <w:rFonts w:ascii="Cambria Math" w:hAnsi="Cambria Math"/>
            </w:rPr>
            <m:t xml:space="preserve">,</m:t>
          </m:r>
        </m:oMath>
      </m:oMathPara>
    </w:p>
    <w:p>
      <w:pPr>
        <w:pStyle w:val="FirstParagraph"/>
        <w:rPr/>
      </w:pPr>
      <w:r>
        <w:rPr/>
        <w:t>eliminando las muestras ausentes, y se procesan en una única actualización (KF, EKF o UKF). Un sensor puede removerse (</w:t>
      </w:r>
      <w:r>
        <w:rPr>
          <w:rStyle w:val="VerbatimChar"/>
        </w:rPr>
        <w:t>use_sensors</w:t>
      </w:r>
      <w:r>
        <w:rPr/>
        <w:t xml:space="preserve">) o reponderarse mediante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oMath>
      <w:r>
        <w:rPr/>
        <w:t xml:space="preserve"> según la estrategia de covarianza (capítulo 15).</w:t>
      </w:r>
      <w:bookmarkEnd w:id="83"/>
    </w:p>
    <w:p>
      <w:pPr>
        <w:pStyle w:val="Heading2"/>
        <w:rPr/>
      </w:pPr>
      <w:bookmarkStart w:id="84" w:name="__RefHeading___Toc11070_1564873447"/>
      <w:bookmarkStart w:id="85" w:name="pesos"/>
      <w:bookmarkEnd w:id="84"/>
      <w:r>
        <w:rPr/>
        <w:t>13.3 Pesos</w:t>
      </w:r>
    </w:p>
    <w:p>
      <w:pPr>
        <w:pStyle w:val="FirstParagraph"/>
        <w:rPr/>
      </w:pPr>
      <w:r>
        <w:rPr/>
        <w:t>Para métodos con filtro se reporta el peso de información relativo de cada sensor disponible:</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f>
            <m:num>
              <m:f>
                <m:fPr>
                  <m:type m:val="lin"/>
                </m:fPr>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k</m:t>
              </m:r>
              <m:r>
                <w:rPr>
                  <w:rFonts w:ascii="Cambria Math" w:hAnsi="Cambria Math"/>
                </w:rPr>
                <m:t xml:space="preserve">)</m:t>
              </m:r>
            </m:num>
            <m:den>
              <m:f>
                <m:fPr>
                  <m:type m:val="lin"/>
                </m:fPr>
                <m:num>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r>
                        <w:rPr>
                          <w:rFonts w:ascii="Cambria Math" w:hAnsi="Cambria Math"/>
                        </w:rPr>
                        <m:t xml:space="preserve">1</m:t>
                      </m:r>
                    </m:e>
                  </m:nary>
                </m:num>
                <m:den>
                  <m:sSub>
                    <m:e>
                      <m:r>
                        <w:rPr>
                          <w:rFonts w:ascii="Cambria Math" w:hAnsi="Cambria Math"/>
                        </w:rPr>
                        <m:t xml:space="preserve">r</m:t>
                      </m:r>
                    </m:e>
                    <m:sub>
                      <m:r>
                        <w:rPr>
                          <w:rFonts w:ascii="Cambria Math" w:hAnsi="Cambria Math"/>
                        </w:rPr>
                        <m:t xml:space="preserve">j</m:t>
                      </m:r>
                    </m:sub>
                  </m:sSub>
                </m:den>
              </m:f>
              <m:r>
                <w:rPr>
                  <w:rFonts w:ascii="Cambria Math" w:hAnsi="Cambria Math"/>
                </w:rPr>
                <m:t xml:space="preserve">(</m:t>
              </m:r>
              <m:r>
                <w:rPr>
                  <w:rFonts w:ascii="Cambria Math" w:hAnsi="Cambria Math"/>
                </w:rPr>
                <m:t xml:space="preserve">k</m:t>
              </m:r>
              <m:r>
                <w:rPr>
                  <w:rFonts w:ascii="Cambria Math" w:hAnsi="Cambria Math"/>
                </w:rPr>
                <m:t xml:space="preserve">)</m:t>
              </m:r>
            </m:den>
          </m:f>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f>
            <m:num>
              <m:r>
                <w:rPr>
                  <w:rFonts w:ascii="Cambria Math" w:hAnsi="Cambria Math"/>
                </w:rPr>
                <m:t xml:space="preserve">t</m:t>
              </m:r>
              <m:r>
                <w:rPr>
                  <w:rFonts w:ascii="Cambria Math" w:hAnsi="Cambria Math"/>
                </w:rPr>
                <m:t xml:space="preserve">r</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num>
            <m:den>
              <m:sSub>
                <m:e>
                  <m:r>
                    <w:rPr>
                      <w:rFonts w:ascii="Cambria Math" w:hAnsi="Cambria Math"/>
                    </w:rPr>
                    <m:t xml:space="preserve">m</m:t>
                  </m:r>
                </m:e>
                <m:sub>
                  <m:r>
                    <w:rPr>
                      <w:rFonts w:ascii="Cambria Math" w:hAnsi="Cambria Math"/>
                    </w:rPr>
                    <m:t xml:space="preserve">i</m:t>
                  </m:r>
                </m:sub>
              </m:sSub>
            </m:den>
          </m:f>
          <m:r>
            <w:rPr>
              <w:rFonts w:ascii="Cambria Math" w:hAnsi="Cambria Math"/>
            </w:rPr>
            <m:t xml:space="preserve">,</m:t>
          </m:r>
        </m:oMath>
      </m:oMathPara>
    </w:p>
    <w:p>
      <w:pPr>
        <w:pStyle w:val="FirstParagraph"/>
        <w:rPr/>
      </w:pPr>
      <w:r>
        <w:rPr/>
        <w:t xml:space="preserve">de modo que </w:t>
      </w:r>
      <w:r>
        <w:rPr/>
      </w:r>
      <m:oMath xmlns:m="http://schemas.openxmlformats.org/officeDocument/2006/math">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Para sensores que miden la misma cantidad son los pesos relativos de las mediciones en la actualización de Kalman y, en SensorTrust con varianzas nominales iguales, se reducen a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nary>
              <m:naryPr>
                <m:chr m:val="∑"/>
                <m:supHide m:val="1"/>
              </m:naryPr>
              <m:sub>
                <m:r>
                  <w:rPr>
                    <w:rFonts w:ascii="Cambria Math" w:hAnsi="Cambria Math"/>
                  </w:rPr>
                  <m:t xml:space="preserve">j</m:t>
                </m:r>
              </m:sub>
              <m:sup/>
              <m:e>
                <m:sSub>
                  <m:e>
                    <m:r>
                      <w:rPr>
                        <w:rFonts w:ascii="Cambria Math" w:hAnsi="Cambria Math"/>
                      </w:rPr>
                      <m:t xml:space="preserve">T</m:t>
                    </m:r>
                  </m:e>
                  <m:sub>
                    <m:r>
                      <w:rPr>
                        <w:rFonts w:ascii="Cambria Math" w:hAnsi="Cambria Math"/>
                      </w:rPr>
                      <m:t xml:space="preserve">j</m:t>
                    </m:r>
                  </m:sub>
                </m:sSub>
              </m:e>
            </m:nary>
          </m:den>
        </m:f>
      </m:oMath>
      <w:r>
        <w:rPr/>
        <w:t xml:space="preserve">. Las divisiones por cero se evitan con </w:t>
      </w:r>
      <w:r>
        <w:rPr/>
      </w:r>
      <m:oMath xmlns:m="http://schemas.openxmlformats.org/officeDocument/2006/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&gt;</m:t>
        </m:r>
        <m:r>
          <w:rPr>
            <w:rFonts w:ascii="Cambria Math" w:hAnsi="Cambria Math"/>
          </w:rPr>
          <m:t xml:space="preserve">0</m:t>
        </m:r>
      </m:oMath>
      <w:r>
        <w:rPr/>
        <w:t xml:space="preserve"> y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oMath>
      <w:r>
        <w:rPr/>
        <w:t>.</w:t>
      </w:r>
      <w:bookmarkEnd w:id="85"/>
    </w:p>
    <w:p>
      <w:pPr>
        <w:pStyle w:val="Heading2"/>
        <w:rPr/>
      </w:pPr>
      <w:bookmarkStart w:id="86" w:name="__RefHeading___Toc11072_1564873447"/>
      <w:bookmarkStart w:id="87" w:name="fusión-a-nivel-de-estimaciones"/>
      <w:bookmarkEnd w:id="86"/>
      <w:r>
        <w:rPr/>
        <w:t>13.4 Fusión a nivel de estimaciones</w:t>
      </w:r>
    </w:p>
    <w:p>
      <w:pPr>
        <w:pStyle w:val="FirstParagraph"/>
        <w:rPr/>
      </w:pPr>
      <w:r>
        <w:rPr/>
        <w:t>Cada sensor alimenta su propio filtro local (</w:t>
      </w:r>
      <w:r>
        <w:rPr/>
      </w:r>
      <m:oMath xmlns:m="http://schemas.openxmlformats.org/officeDocument/2006/math">
        <m:sSub>
          <m:e>
            <m:acc>
              <m:accPr>
                <m:chr m:val="^"/>
              </m:accPr>
              <m:e>
                <m:r>
                  <w:rPr>
                    <w:rFonts w:ascii="Cambria Math" w:hAnsi="Cambria Math"/>
                  </w:rPr>
                  <m:t xml:space="preserve">x</m:t>
                </m:r>
              </m:e>
            </m:acc>
          </m:e>
          <m:sub>
            <m:r>
              <w:rPr>
                <w:rFonts w:ascii="Cambria Math" w:hAnsi="Cambria Math"/>
              </w:rPr>
              <m:t xml:space="preserve">i</m:t>
            </m:r>
          </m:sub>
        </m:sSub>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 Como los errores locales están correlacionados de forma desconocida (ruido de proceso común), se fusiona con Intersección de Covarianzas: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f</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sSubSup>
            <m:e>
              <m:r>
                <w:rPr>
                  <w:rFonts w:ascii="Cambria Math" w:hAnsi="Cambria Math"/>
                </w:rPr>
                <m:t xml:space="preserve">P</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f</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f</m:t>
              </m:r>
            </m:sub>
          </m:sSub>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sSubSup>
            <m:e>
              <m:r>
                <w:rPr>
                  <w:rFonts w:ascii="Cambria Math" w:hAnsi="Cambria Math"/>
                </w:rPr>
                <m:t xml:space="preserve">P</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t xml:space="preserve">con </w:t>
      </w:r>
      <w:r>
        <w:rPr/>
      </w:r>
      <m:oMath xmlns:m="http://schemas.openxmlformats.org/officeDocument/2006/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N</m:t>
            </m:r>
          </m:den>
        </m:f>
      </m:oMath>
      <w:r>
        <w:rPr/>
        <w:t xml:space="preserve"> (</w:t>
      </w:r>
      <w:r>
        <w:rPr>
          <w:rStyle w:val="VerbatimChar"/>
        </w:rPr>
        <w:t>ci_fusion</w:t>
      </w:r>
      <w:r>
        <w:rPr/>
        <w:t xml:space="preserve">) o </w:t>
      </w:r>
      <w:r>
        <w:rPr/>
      </w:r>
      <m:oMath xmlns:m="http://schemas.openxmlformats.org/officeDocument/2006/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nary>
              <m:naryPr>
                <m:chr m:val="∑"/>
                <m:supHide m:val="1"/>
              </m:naryPr>
              <m:sub>
                <m:r>
                  <w:rPr>
                    <w:rFonts w:ascii="Cambria Math" w:hAnsi="Cambria Math"/>
                  </w:rPr>
                  <m:t xml:space="preserve">j</m:t>
                </m:r>
              </m:sub>
              <m:sup/>
              <m:e>
                <m:sSub>
                  <m:e>
                    <m:r>
                      <w:rPr>
                        <w:rFonts w:ascii="Cambria Math" w:hAnsi="Cambria Math"/>
                      </w:rPr>
                      <m:t xml:space="preserve">T</m:t>
                    </m:r>
                  </m:e>
                  <m:sub>
                    <m:r>
                      <w:rPr>
                        <w:rFonts w:ascii="Cambria Math" w:hAnsi="Cambria Math"/>
                      </w:rPr>
                      <m:t xml:space="preserve">j</m:t>
                    </m:r>
                  </m:sub>
                </m:sSub>
              </m:e>
            </m:nary>
          </m:den>
        </m:f>
      </m:oMath>
      <w:r>
        <w:rPr/>
        <w:t xml:space="preserve"> (</w:t>
      </w:r>
      <w:r>
        <w:rPr>
          <w:rStyle w:val="VerbatimChar"/>
        </w:rPr>
        <w:t>sensortrust_ci</w:t>
      </w:r>
      <w:r>
        <w:rPr/>
        <w:t xml:space="preserve">). En la segunda, la innovación usada para la confianza se calcula respecto a la predicción fusionada </w:t>
      </w:r>
      <w:r>
        <w:rPr/>
      </w:r>
      <m:oMath xmlns:m="http://schemas.openxmlformats.org/officeDocument/2006/math">
        <m:sSubSup>
          <m:e>
            <m:acc>
              <m:accPr>
                <m:chr m:val="^"/>
              </m:accPr>
              <m:e>
                <m:r>
                  <w:rPr>
                    <w:rFonts w:ascii="Cambria Math" w:hAnsi="Cambria Math"/>
                  </w:rPr>
                  <m:t xml:space="preserve">x</m:t>
                </m:r>
              </m:e>
            </m:acc>
          </m:e>
          <m:sub>
            <m:r>
              <w:rPr>
                <w:rFonts w:ascii="Cambria Math" w:hAnsi="Cambria Math"/>
              </w:rPr>
              <m:t xml:space="preserve">f</m:t>
            </m:r>
          </m:sub>
          <m:sup>
            <m:r>
              <w:rPr>
                <w:rFonts w:ascii="Cambria Math" w:hAnsi="Cambria Math"/>
              </w:rPr>
              <m:t xml:space="preserve">−</m:t>
            </m:r>
          </m:sup>
        </m:sSubSup>
        <m:r>
          <w:rPr>
            <w:rFonts w:ascii="Cambria Math" w:hAnsi="Cambria Math"/>
          </w:rPr>
          <m:t xml:space="preserve">=</m:t>
        </m:r>
        <m:r>
          <w:rPr>
            <w:rFonts w:ascii="Cambria Math" w:hAnsi="Cambria Math"/>
          </w:rPr>
          <m:t xml:space="preserve">f</m:t>
        </m:r>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f</m:t>
            </m:r>
          </m:sub>
        </m:sSub>
        <m:r>
          <w:rPr>
            <w:rFonts w:ascii="Cambria Math" w:hAnsi="Cambria Math"/>
          </w:rPr>
          <m:t xml:space="preserve">)</m:t>
        </m:r>
      </m:oMath>
      <w:r>
        <w:rPr/>
        <w:t xml:space="preserve">, </w:t>
      </w:r>
      <w:r>
        <w:rPr/>
      </w:r>
      <m:oMath xmlns:m="http://schemas.openxmlformats.org/officeDocument/2006/math">
        <m:sSubSup>
          <m:e>
            <m:r>
              <w:rPr>
                <w:rFonts w:ascii="Cambria Math" w:hAnsi="Cambria Math"/>
              </w:rPr>
              <m:t xml:space="preserve">P</m:t>
            </m:r>
          </m:e>
          <m:sub>
            <m:r>
              <w:rPr>
                <w:rFonts w:ascii="Cambria Math" w:hAnsi="Cambria Math"/>
              </w:rPr>
              <m:t xml:space="preserve">f</m:t>
            </m:r>
          </m:sub>
          <m:sup>
            <m:r>
              <w:rPr>
                <w:rFonts w:ascii="Cambria Math" w:hAnsi="Cambria Math"/>
              </w:rPr>
              <m:t xml:space="preserve">−</m:t>
            </m:r>
          </m:sup>
        </m:sSubSup>
        <m:r>
          <w:rPr>
            <w:rFonts w:ascii="Cambria Math" w:hAnsi="Cambria Math"/>
          </w:rPr>
          <m:t xml:space="preserve">=</m:t>
        </m:r>
        <m:r>
          <w:rPr>
            <w:rFonts w:ascii="Cambria Math" w:hAnsi="Cambria Math"/>
          </w:rPr>
          <m:t xml:space="preserve">F</m:t>
        </m:r>
        <m:sSub>
          <m:e>
            <m:r>
              <w:rPr>
                <w:rFonts w:ascii="Cambria Math" w:hAnsi="Cambria Math"/>
              </w:rPr>
              <m:t xml:space="preserve">P</m:t>
            </m:r>
          </m:e>
          <m:sub>
            <m:r>
              <w:rPr>
                <w:rFonts w:ascii="Cambria Math" w:hAnsi="Cambria Math"/>
              </w:rPr>
              <m:t xml:space="preserve">f</m:t>
            </m:r>
          </m:sub>
        </m:sSub>
        <m:sSup>
          <m:e>
            <m:r>
              <w:rPr>
                <w:rFonts w:ascii="Cambria Math" w:hAnsi="Cambria Math"/>
              </w:rPr>
              <m:t xml:space="preserve">F</m:t>
            </m:r>
          </m:e>
          <m:sup>
            <m:r>
              <w:rPr>
                <w:rFonts w:ascii="Cambria Math" w:hAnsi="Cambria Math"/>
              </w:rPr>
              <m:t xml:space="preserve">T</m:t>
            </m:r>
          </m:sup>
        </m:sSup>
        <m:r>
          <w:rPr>
            <w:rFonts w:ascii="Cambria Math" w:hAnsi="Cambria Math"/>
          </w:rPr>
          <m:t xml:space="preserve">+</m:t>
        </m:r>
        <m:r>
          <w:rPr>
            <w:rFonts w:ascii="Cambria Math" w:hAnsi="Cambria Math"/>
          </w:rPr>
          <m:t xml:space="preserve">Q</m:t>
        </m:r>
      </m:oMath>
      <w:r>
        <w:rPr/>
        <w:t>.</w:t>
      </w:r>
      <w:bookmarkEnd w:id="87"/>
    </w:p>
    <w:p>
      <w:pPr>
        <w:pStyle w:val="Heading2"/>
        <w:rPr/>
      </w:pPr>
      <w:bookmarkStart w:id="88" w:name="__RefHeading___Toc11074_1564873447"/>
      <w:bookmarkEnd w:id="88"/>
      <w:r>
        <w:rPr/>
        <w:t>13.5 Catálogo de métodos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23"/>
        <w:gridCol w:w="4508"/>
      </w:tblGrid>
      <w:tr>
        <w:trPr>
          <w:tblHeader w:val="true"/>
        </w:trPr>
        <w:tc>
          <w:tcPr>
            <w:tcW w:w="512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Clave</w:t>
            </w:r>
          </w:p>
        </w:tc>
        <w:tc>
          <w:tcPr>
            <w:tcW w:w="45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Descripción</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simple_average</w:t>
            </w:r>
            <w:r>
              <w:rPr>
                <w:rFonts w:eastAsia="" w:cs=""/>
                <w:kern w:val="0"/>
                <w:sz w:val="17"/>
                <w:szCs w:val="24"/>
                <w:lang w:val="en-US" w:eastAsia="zh-CN" w:bidi="ar-SA"/>
              </w:rPr>
              <w:t xml:space="preserve">, </w:t>
            </w:r>
            <w:r>
              <w:rPr>
                <w:rStyle w:val="VerbatimChar"/>
                <w:rFonts w:eastAsia="" w:cs=""/>
                <w:kern w:val="0"/>
                <w:sz w:val="17"/>
                <w:szCs w:val="24"/>
                <w:lang w:val="en-US" w:eastAsia="zh-CN" w:bidi="ar-SA"/>
              </w:rPr>
              <w:t>fixed_weights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inverse_variance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promedios estáticos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best_sensor_oracle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mejor sensor individual (oráculo)</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KF centralizado, </w:t>
            </w:r>
            <w:r>
              <w:rPr>
                <w:rFonts w:eastAsia="" w:cs=""/>
                <w:kern w:val="0"/>
                <w:szCs w:val="24"/>
                <w:lang w:val="en-US" w:eastAsia="zh-CN" w:bidi="ar-SA"/>
              </w:rPr>
            </w:r>
            <m:oMath xmlns:m="http://schemas.openxmlformats.org/officeDocument/2006/math">
              <m:r>
                <w:rPr>
                  <w:rFonts w:ascii="Cambria Math" w:hAnsi="Cambria Math"/>
                </w:rPr>
                <m:t xml:space="preserve">R</m:t>
              </m:r>
            </m:oMath>
            <w:r>
              <w:rPr>
                <w:rFonts w:eastAsia="" w:cs=""/>
                <w:kern w:val="0"/>
                <w:sz w:val="17"/>
                <w:szCs w:val="24"/>
                <w:lang w:val="en-US" w:eastAsia="zh-CN" w:bidi="ar-SA"/>
              </w:rPr>
              <w:t xml:space="preserve"> nominal (caso A)</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kf_true_r</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KF con </w:t>
            </w:r>
            <w:r>
              <w:rPr>
                <w:rFonts w:eastAsia="" w:cs=""/>
                <w:kern w:val="0"/>
                <w:szCs w:val="24"/>
                <w:lang w:val="en-US" w:eastAsia="zh-CN" w:bidi="ar-SA"/>
              </w:rPr>
            </w:r>
            <m:oMath xmlns:m="http://schemas.openxmlformats.org/officeDocument/2006/math">
              <m:r>
                <w:rPr>
                  <w:rFonts w:ascii="Cambria Math" w:hAnsi="Cambria Math"/>
                </w:rPr>
                <m:t xml:space="preserve">R</m:t>
              </m:r>
            </m:oMath>
            <w:r>
              <w:rPr>
                <w:rFonts w:eastAsia="" w:cs=""/>
                <w:kern w:val="0"/>
                <w:sz w:val="17"/>
                <w:szCs w:val="24"/>
                <w:lang w:val="en-US" w:eastAsia="zh-CN" w:bidi="ar-SA"/>
              </w:rPr>
              <w:t xml:space="preserve"> verdadera variable (oráculo, caso B)</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adaptive_kf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KF con </w:t>
            </w:r>
            <w:r>
              <w:rPr>
                <w:rFonts w:eastAsia="" w:cs=""/>
                <w:kern w:val="0"/>
                <w:szCs w:val="24"/>
                <w:lang w:val="en-US" w:eastAsia="zh-CN" w:bidi="ar-SA"/>
              </w:rPr>
            </w:r>
            <m:oMath xmlns:m="http://schemas.openxmlformats.org/officeDocument/2006/math">
              <m:r>
                <w:rPr>
                  <w:rFonts w:ascii="Cambria Math" w:hAnsi="Cambria Math"/>
                </w:rPr>
                <m:t xml:space="preserve">R</m:t>
              </m:r>
            </m:oMath>
            <w:r>
              <w:rPr>
                <w:rFonts w:eastAsia="" w:cs=""/>
                <w:kern w:val="0"/>
                <w:sz w:val="17"/>
                <w:szCs w:val="24"/>
                <w:lang w:val="en-US" w:eastAsia="zh-CN" w:bidi="ar-SA"/>
              </w:rPr>
              <w:t xml:space="preserve"> estimada Sage–Husa (caso C)</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sensortrust_kf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ponderación SensorTrust (caso D)</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sensortrust_kf_mean_only</w:t>
            </w:r>
            <w:r>
              <w:rPr>
                <w:rFonts w:eastAsia="" w:cs=""/>
                <w:kern w:val="0"/>
                <w:sz w:val="17"/>
                <w:szCs w:val="24"/>
                <w:lang w:val="en-US" w:eastAsia="zh-CN" w:bidi="ar-SA"/>
              </w:rPr>
              <w:t xml:space="preserve">, </w:t>
            </w:r>
            <w:r>
              <w:rPr>
                <w:rStyle w:val="VerbatimChar"/>
                <w:rFonts w:eastAsia="" w:cs=""/>
                <w:kern w:val="0"/>
                <w:sz w:val="17"/>
                <w:szCs w:val="24"/>
                <w:lang w:val="en-US" w:eastAsia="zh-CN" w:bidi="ar-SA"/>
              </w:rPr>
              <w:t>sensortrust_kf_m2_only</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ablaciones de momentos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kf_nis_gate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single_sensor_kf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subconjunto de sensores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ekf</w:t>
            </w:r>
            <w:r>
              <w:rPr>
                <w:rFonts w:eastAsia="" w:cs=""/>
                <w:kern w:val="0"/>
                <w:sz w:val="17"/>
                <w:szCs w:val="24"/>
                <w:lang w:val="en-US" w:eastAsia="zh-CN" w:bidi="ar-SA"/>
              </w:rPr>
              <w:t xml:space="preserve">, </w:t>
            </w:r>
            <w:r>
              <w:rPr>
                <w:rStyle w:val="VerbatimChar"/>
                <w:rFonts w:eastAsia="" w:cs=""/>
                <w:kern w:val="0"/>
                <w:sz w:val="17"/>
                <w:szCs w:val="24"/>
                <w:lang w:val="en-US" w:eastAsia="zh-CN" w:bidi="ar-SA"/>
              </w:rPr>
              <w:t>adaptive_ekf</w:t>
            </w:r>
            <w:r>
              <w:rPr>
                <w:rFonts w:eastAsia="" w:cs=""/>
                <w:kern w:val="0"/>
                <w:sz w:val="17"/>
                <w:szCs w:val="24"/>
                <w:lang w:val="en-US" w:eastAsia="zh-CN" w:bidi="ar-SA"/>
              </w:rPr>
              <w:t xml:space="preserve">, </w:t>
            </w:r>
            <w:r>
              <w:rPr>
                <w:rStyle w:val="VerbatimChar"/>
                <w:rFonts w:eastAsia="" w:cs=""/>
                <w:kern w:val="0"/>
                <w:sz w:val="17"/>
                <w:szCs w:val="24"/>
                <w:lang w:val="en-US" w:eastAsia="zh-CN" w:bidi="ar-SA"/>
              </w:rPr>
              <w:t>sensortrust_ekf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variantes EKF</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ukf</w:t>
            </w:r>
            <w:r>
              <w:rPr>
                <w:rFonts w:eastAsia="" w:cs=""/>
                <w:kern w:val="0"/>
                <w:sz w:val="17"/>
                <w:szCs w:val="24"/>
                <w:lang w:val="en-US" w:eastAsia="zh-CN" w:bidi="ar-SA"/>
              </w:rPr>
              <w:t xml:space="preserve">, </w:t>
            </w:r>
            <w:r>
              <w:rPr>
                <w:rStyle w:val="VerbatimChar"/>
                <w:rFonts w:eastAsia="" w:cs=""/>
                <w:kern w:val="0"/>
                <w:sz w:val="17"/>
                <w:szCs w:val="24"/>
                <w:lang w:val="en-US" w:eastAsia="zh-CN" w:bidi="ar-SA"/>
              </w:rPr>
              <w:t>sensortrust_ukf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variantes UKF</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ci_fusion</w:t>
            </w:r>
            <w:r>
              <w:rPr>
                <w:rFonts w:eastAsia="" w:cs=""/>
                <w:kern w:val="0"/>
                <w:sz w:val="17"/>
                <w:szCs w:val="24"/>
                <w:lang w:val="en-US" w:eastAsia="zh-CN" w:bidi="ar-SA"/>
              </w:rPr>
              <w:t xml:space="preserve">, </w:t>
            </w:r>
            <w:r>
              <w:rPr>
                <w:rStyle w:val="VerbatimChar"/>
                <w:rFonts w:eastAsia="" w:cs=""/>
                <w:kern w:val="0"/>
                <w:sz w:val="17"/>
                <w:szCs w:val="24"/>
                <w:lang w:val="en-US" w:eastAsia="zh-CN" w:bidi="ar-SA"/>
              </w:rPr>
              <w:t>sensortrust_ci</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fusión a nivel de estimaciones</w:t>
            </w:r>
            <w:bookmarkStart w:id="89" w:name="algoritmos-de-fusión"/>
            <w:bookmarkStart w:id="90" w:name="catálogo-de-métodos"/>
            <w:bookmarkEnd w:id="89"/>
            <w:bookmarkEnd w:id="90"/>
          </w:p>
        </w:tc>
      </w:tr>
    </w:tbl>
    <w:p>
      <w:pPr>
        <w:pStyle w:val="Heading1"/>
        <w:rPr/>
      </w:pPr>
      <w:bookmarkStart w:id="91" w:name="__RefHeading___Toc11076_1564873447"/>
      <w:bookmarkEnd w:id="91"/>
      <w:r>
        <w:rPr/>
        <w:t>14. Filtro de Kalman, EKF y UKF</w:t>
      </w:r>
    </w:p>
    <w:p>
      <w:pPr>
        <w:pStyle w:val="Heading2"/>
        <w:rPr/>
      </w:pPr>
      <w:bookmarkStart w:id="92" w:name="__RefHeading___Toc11078_1564873447"/>
      <w:bookmarkStart w:id="93" w:name="filtro-de-kalman"/>
      <w:bookmarkEnd w:id="92"/>
      <w:r>
        <w:rPr/>
        <w:t>14.1 Filtro de Kalman</w:t>
      </w:r>
    </w:p>
    <w:p>
      <w:pPr>
        <w:pStyle w:val="FirstParagraph"/>
        <w:rPr/>
      </w:pPr>
      <w:r>
        <w:rPr/>
        <w:t xml:space="preserve">Implementado en </w:t>
      </w:r>
      <w:r>
        <w:rPr>
          <w:rStyle w:val="VerbatimChar"/>
        </w:rPr>
        <w:t>estimators/filters.py</w:t>
      </w:r>
      <w:r>
        <w:rPr/>
        <w:t xml:space="preserve"> (</w:t>
      </w:r>
      <w:r>
        <w:rPr>
          <w:rStyle w:val="VerbatimChar"/>
        </w:rPr>
        <w:t>KalmanFilter</w:t>
      </w:r>
      <w:r>
        <w:rPr/>
        <w:t>):</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A</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A</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r>
            <w:rPr>
              <w:rFonts w:ascii="Cambria Math" w:hAnsi="Cambria Math"/>
            </w:rPr>
            <m:t xml:space="preserve">Q</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r>
            <w:rPr>
              <w:rFonts w:ascii="Cambria Math" w:hAnsi="Cambria Math"/>
            </w:rPr>
            <m:t xml:space="preserve">H</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H</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H</m:t>
              </m:r>
            </m:e>
            <m:sup>
              <m:r>
                <w:rPr>
                  <w:rFonts w:ascii="Cambria Math" w:hAnsi="Cambria Math"/>
                </w:rPr>
                <m:t xml:space="preserve">T</m:t>
              </m:r>
            </m:sup>
          </m:sSup>
          <m:r>
            <w:rPr>
              <w:rFonts w:ascii="Cambria Math" w:hAnsi="Cambria Math"/>
            </w:rPr>
            <m:t xml:space="preserve">+</m:t>
          </m:r>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H</m:t>
              </m:r>
            </m:e>
            <m:sup>
              <m:r>
                <w:rPr>
                  <w:rFonts w:ascii="Cambria Math" w:hAnsi="Cambria Math"/>
                </w:rPr>
                <m:t xml:space="preserve">T</m:t>
              </m:r>
            </m:sup>
          </m:s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sSup>
            <m:e>
              <m:r>
                <w:rPr>
                  <w:rFonts w:ascii="Cambria Math" w:hAnsi="Cambria Math"/>
                </w:rPr>
                <m:t xml:space="preserve">)</m:t>
              </m:r>
            </m:e>
            <m:sup>
              <m:r>
                <w:rPr>
                  <w:rFonts w:ascii="Cambria Math" w:hAnsi="Cambria Math"/>
                </w:rPr>
                <m:t xml:space="preserve">T</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R</m:t>
          </m:r>
          <m:sSubSup>
            <m:e>
              <m:r>
                <w:rPr>
                  <w:rFonts w:ascii="Cambria Math" w:hAnsi="Cambria Math"/>
                </w:rPr>
                <m:t xml:space="preserve">K</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oMath>
      </m:oMathPara>
    </w:p>
    <w:p>
      <w:pPr>
        <w:pStyle w:val="FirstParagraph"/>
        <w:rPr/>
      </w:pPr>
      <w:r>
        <w:rPr/>
        <w:t xml:space="preserve">Estabilidad numérica: la ganancia se obtiene resolviendo el sistema lineal </w:t>
      </w:r>
      <w:r>
        <w:rPr/>
      </w:r>
      <m:oMath xmlns:m="http://schemas.openxmlformats.org/officeDocument/2006/math">
        <m:sSub>
          <m:e>
            <m:r>
              <w:rPr>
                <w:rFonts w:ascii="Cambria Math" w:hAnsi="Cambria Math"/>
              </w:rPr>
              <m:t xml:space="preserve">S</m:t>
            </m:r>
          </m:e>
          <m:sub>
            <m:r>
              <w:rPr>
                <w:rFonts w:ascii="Cambria Math" w:hAnsi="Cambria Math"/>
              </w:rPr>
              <m:t xml:space="preserve">k</m:t>
            </m:r>
          </m:sub>
        </m:sSub>
        <m:sSubSup>
          <m:e>
            <m:r>
              <w:rPr>
                <w:rFonts w:ascii="Cambria Math" w:hAnsi="Cambria Math"/>
              </w:rPr>
              <m:t xml:space="preserve">K</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r>
          <w:rPr>
            <w:rFonts w:ascii="Cambria Math" w:hAnsi="Cambria Math"/>
          </w:rPr>
          <m:t xml:space="preserve">H</m:t>
        </m:r>
        <m:sSubSup>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T</m:t>
            </m:r>
          </m:sup>
        </m:sSubSup>
      </m:oMath>
      <w:r>
        <w:rPr/>
        <w:t xml:space="preserve"> (sin invertir </w:t>
      </w:r>
      <w:r>
        <w:rPr/>
      </w:r>
      <m:oMath xmlns:m="http://schemas.openxmlformats.org/officeDocument/2006/math">
        <m:sSub>
          <m:e>
            <m:r>
              <w:rPr>
                <w:rFonts w:ascii="Cambria Math" w:hAnsi="Cambria Math"/>
              </w:rPr>
              <m:t xml:space="preserve">S</m:t>
            </m:r>
          </m:e>
          <m:sub>
            <m:r>
              <w:rPr>
                <w:rFonts w:ascii="Cambria Math" w:hAnsi="Cambria Math"/>
              </w:rPr>
              <m:t xml:space="preserve">k</m:t>
            </m:r>
          </m:sub>
        </m:sSub>
      </m:oMath>
      <w:r>
        <w:rPr/>
        <w:t xml:space="preserve">), la covarianza se actualiza en forma de Joseph y se simetriza en cada paso. Con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a priori </w:t>
      </w:r>
      <w:r>
        <w:rPr/>
      </w:r>
      <m:oMath xmlns:m="http://schemas.openxmlformats.org/officeDocument/2006/math">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 xml:space="preserve"> la primera actualización se realiza en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oMath>
      <w:r>
        <w:rPr/>
        <w:t xml:space="preserve"> y la predicción usa </w:t>
      </w:r>
      <w:r>
        <w:rPr/>
      </w:r>
      <m:oMath xmlns:m="http://schemas.openxmlformats.org/officeDocument/2006/math">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 xml:space="preserve">, coherente con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w:t>
      </w:r>
      <w:bookmarkEnd w:id="93"/>
    </w:p>
    <w:p>
      <w:pPr>
        <w:pStyle w:val="Heading2"/>
        <w:rPr/>
      </w:pPr>
      <w:bookmarkStart w:id="94" w:name="__RefHeading___Toc11080_1564873447"/>
      <w:bookmarkStart w:id="95" w:name="filtro-de-kalman-extendido"/>
      <w:bookmarkEnd w:id="94"/>
      <w:r>
        <w:rPr/>
        <w:t>14.2 Filtro de Kalman extendido</w:t>
      </w:r>
    </w:p>
    <w:p>
      <w:pPr>
        <w:pStyle w:val="FirstParagraph"/>
        <w:rPr/>
      </w:pPr>
      <w:r>
        <w:rPr/>
        <w:t xml:space="preserve">Sustituye </w:t>
      </w:r>
      <w:r>
        <w:rPr/>
      </w:r>
      <m:oMath xmlns:m="http://schemas.openxmlformats.org/officeDocument/2006/math">
        <m:r>
          <w:rPr>
            <w:rFonts w:ascii="Cambria Math" w:hAnsi="Cambria Math"/>
          </w:rPr>
          <m:t xml:space="preserve">A</m:t>
        </m:r>
      </m:oMath>
      <w:r>
        <w:rPr/>
        <w:t xml:space="preserve"> y </w:t>
      </w:r>
      <w:r>
        <w:rPr/>
      </w:r>
      <m:oMath xmlns:m="http://schemas.openxmlformats.org/officeDocument/2006/math">
        <m:r>
          <w:rPr>
            <w:rFonts w:ascii="Cambria Math" w:hAnsi="Cambria Math"/>
          </w:rPr>
          <m:t xml:space="preserve">H</m:t>
        </m:r>
      </m:oMath>
      <w:r>
        <w:rPr/>
        <w:t xml:space="preserve"> por los jacobianos </w:t>
      </w:r>
      <w:r>
        <w:rPr/>
      </w:r>
      <m:oMath xmlns:m="http://schemas.openxmlformats.org/officeDocument/2006/math">
        <m:sSub>
          <m:e>
            <m:r>
              <w:rPr>
                <w:rFonts w:ascii="Cambria Math" w:hAnsi="Cambria Math"/>
              </w:rPr>
              <m:t xml:space="preserve">F</m:t>
            </m:r>
          </m:e>
          <m:sub>
            <m:r>
              <w:rPr>
                <w:rFonts w:ascii="Cambria Math" w:hAnsi="Cambria Math"/>
              </w:rPr>
              <m:t xml:space="preserve">k</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f</m:t>
            </m:r>
          </m:num>
          <m:den>
            <m:r>
              <w:rPr>
                <w:rFonts w:ascii="Cambria Math" w:hAnsi="Cambria Math"/>
              </w:rPr>
              <m:t xml:space="preserve">∂</m:t>
            </m:r>
          </m:den>
        </m:f>
        <m:r>
          <w:rPr>
            <w:rFonts w:ascii="Cambria Math" w:hAnsi="Cambria Math"/>
          </w:rPr>
          <m:t xml:space="preserve">x</m:t>
        </m:r>
        <m:sSub>
          <m:e/>
          <m:sub>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ub>
        </m:sSub>
      </m:oMath>
      <w:r>
        <w:rPr/>
        <w:t xml:space="preserve"> y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m:t>
            </m:r>
          </m:den>
        </m:f>
        <m:r>
          <w:rPr>
            <w:rFonts w:ascii="Cambria Math" w:hAnsi="Cambria Math"/>
          </w:rPr>
          <m:t xml:space="preserve">x</m:t>
        </m:r>
        <m:sSub>
          <m:e/>
          <m:sub>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ub>
        </m:sSub>
      </m:oMath>
      <w:r>
        <w:rPr/>
        <w:t xml:space="preserve">, y propaga la media con </w:t>
      </w:r>
      <w:r>
        <w:rPr/>
      </w:r>
      <m:oMath xmlns:m="http://schemas.openxmlformats.org/officeDocument/2006/math">
        <m:r>
          <w:rPr>
            <w:rFonts w:ascii="Cambria Math" w:hAnsi="Cambria Math"/>
          </w:rPr>
          <m:t xml:space="preserve">f</m:t>
        </m:r>
      </m:oMath>
      <w:r>
        <w:rPr/>
        <w:t xml:space="preserve"> y </w:t>
      </w:r>
      <w:r>
        <w:rPr/>
      </w:r>
      <m:oMath xmlns:m="http://schemas.openxmlformats.org/officeDocument/2006/math">
        <m:r>
          <w:rPr>
            <w:rFonts w:ascii="Cambria Math" w:hAnsi="Cambria Math"/>
          </w:rPr>
          <m:t xml:space="preserve">h</m:t>
        </m:r>
      </m:oMath>
      <w:r>
        <w:rPr/>
        <w:t xml:space="preserve"> no lineales. Su uso se justifica con el péndulo no lineal y los sensores de posición </w:t>
      </w:r>
      <w:r>
        <w:rPr/>
      </w:r>
      <m:oMath xmlns:m="http://schemas.openxmlformats.org/officeDocument/2006/math">
        <m:r>
          <w:rPr>
            <w:rFonts w:ascii="Cambria Math" w:hAnsi="Cambria Math"/>
          </w:rPr>
          <m:t xml:space="preserve">L</m:t>
        </m:r>
        <m:r>
          <w:rPr>
            <w:rFonts w:ascii="Cambria Math" w:hAnsi="Cambria Math"/>
          </w:rPr>
          <m:t xml:space="preserve">sin</m:t>
        </m:r>
        <m:r>
          <w:rPr>
            <w:rFonts w:ascii="Cambria Math" w:hAnsi="Cambria Math"/>
          </w:rPr>
          <m:t xml:space="preserve">θ</m:t>
        </m:r>
      </m:oMath>
      <w:r>
        <w:rPr/>
        <w:t xml:space="preserve"> (ST-BENCH-13).</w:t>
      </w:r>
      <w:bookmarkEnd w:id="95"/>
    </w:p>
    <w:p>
      <w:pPr>
        <w:pStyle w:val="Heading2"/>
        <w:rPr/>
      </w:pPr>
      <w:bookmarkStart w:id="96" w:name="__RefHeading___Toc11082_1564873447"/>
      <w:bookmarkStart w:id="97" w:name="filtro-de-kalman-unscented"/>
      <w:bookmarkEnd w:id="96"/>
      <w:r>
        <w:rPr/>
        <w:t>14.3 Filtro de Kalman unscented</w:t>
      </w:r>
    </w:p>
    <w:p>
      <w:pPr>
        <w:pStyle w:val="FirstParagraph"/>
        <w:rPr/>
      </w:pPr>
      <w:r>
        <w:rPr/>
        <w:t xml:space="preserve">Transformación unscented escalada con </w:t>
      </w:r>
      <w:r>
        <w:rPr/>
      </w:r>
      <m:oMath xmlns:m="http://schemas.openxmlformats.org/officeDocument/2006/math">
        <m:r>
          <w:rPr>
            <w:rFonts w:ascii="Cambria Math" w:hAnsi="Cambria Math"/>
          </w:rPr>
          <m:t xml:space="preserve">λ</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κ</m:t>
        </m:r>
        <m:r>
          <w:rPr>
            <w:rFonts w:ascii="Cambria Math" w:hAnsi="Cambria Math"/>
          </w:rPr>
          <m:t xml:space="preserve">)</m:t>
        </m:r>
        <m:r>
          <w:rPr>
            <w:rFonts w:ascii="Cambria Math" w:hAnsi="Cambria Math"/>
          </w:rPr>
          <m:t xml:space="preserve">−</m:t>
        </m:r>
        <m:r>
          <w:rPr>
            <w:rFonts w:ascii="Cambria Math" w:hAnsi="Cambria Math"/>
          </w:rPr>
          <m:t xml:space="preserve">n</m:t>
        </m:r>
      </m:oMath>
      <w:r>
        <w:rPr/>
        <w:t xml:space="preserve">, </w:t>
      </w:r>
      <w:r>
        <w:rPr/>
      </w:r>
      <m:oMath xmlns:m="http://schemas.openxmlformats.org/officeDocument/2006/math">
        <m:r>
          <w:rPr>
            <w:rFonts w:ascii="Cambria Math" w:hAnsi="Cambria Math"/>
          </w:rPr>
          <m:t xml:space="preserve">2</m:t>
        </m:r>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puntos sigma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acc>
          <m:accPr>
            <m:chr m:val="^"/>
          </m:accPr>
          <m:e>
            <m:r>
              <w:rPr>
                <w:rFonts w:ascii="Cambria Math" w:hAnsi="Cambria Math"/>
              </w:rPr>
              <m:t xml:space="preserve">x</m:t>
            </m:r>
          </m:e>
        </m:acc>
      </m:oMath>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m:t>
            </m:r>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e>
        </m:rad>
        <m:sSub>
          <m:e>
            <m:r>
              <w:rPr>
                <w:rFonts w:ascii="Cambria Math" w:hAnsi="Cambria Math"/>
              </w:rPr>
              <m:t xml:space="preserve">)</m:t>
            </m:r>
          </m:e>
          <m:sub>
            <m:r>
              <w:rPr>
                <w:rFonts w:ascii="Cambria Math" w:hAnsi="Cambria Math"/>
              </w:rPr>
              <m:t xml:space="preserve">i</m:t>
            </m:r>
          </m:sub>
        </m:sSub>
      </m:oMath>
      <w:r>
        <w:rPr/>
        <w:t xml:space="preserve"> y pesos </w:t>
      </w:r>
      <w:r>
        <w:rPr/>
      </w:r>
      <m:oMath xmlns:m="http://schemas.openxmlformats.org/officeDocument/2006/math">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m</m:t>
            </m:r>
            <m:r>
              <w:rPr>
                <w:rFonts w:ascii="Cambria Math" w:hAnsi="Cambria Math"/>
              </w:rPr>
              <m:t xml:space="preserve">)</m:t>
            </m:r>
          </m:sup>
        </m:sSubSup>
        <m:r>
          <w:rPr>
            <w:rFonts w:ascii="Cambria Math" w:hAnsi="Cambria Math"/>
          </w:rPr>
          <m:t xml:space="preserve">=</m:t>
        </m:r>
        <m:f>
          <m:fPr>
            <m:type m:val="lin"/>
          </m:fPr>
          <m:num>
            <m:r>
              <w:rPr>
                <w:rFonts w:ascii="Cambria Math" w:hAnsi="Cambria Math"/>
              </w:rPr>
              <m:t xml:space="preserve">λ</m:t>
            </m:r>
          </m:num>
          <m:den>
            <m:r>
              <w:rPr>
                <w:rFonts w:ascii="Cambria Math" w:hAnsi="Cambria Math"/>
              </w:rPr>
              <m:t xml:space="preserve">(</m:t>
            </m:r>
          </m:den>
        </m:f>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oMath>
      <w:r>
        <w:rPr/>
        <w:t xml:space="preserve">, </w:t>
      </w:r>
      <w:r>
        <w:rPr/>
      </w:r>
      <m:oMath xmlns:m="http://schemas.openxmlformats.org/officeDocument/2006/math">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c</m:t>
            </m:r>
            <m:r>
              <w:rPr>
                <w:rFonts w:ascii="Cambria Math" w:hAnsi="Cambria Math"/>
              </w:rPr>
              <m:t xml:space="preserve">)</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m</m:t>
            </m:r>
            <m:r>
              <w:rPr>
                <w:rFonts w:ascii="Cambria Math" w:hAnsi="Cambria Math"/>
              </w:rPr>
              <m:t xml:space="preserve">)</m:t>
            </m:r>
          </m:sup>
        </m:sSub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β</m:t>
        </m:r>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m:t>
            </m:r>
          </m:den>
        </m:f>
        <m:r>
          <w:rPr>
            <w:rFonts w:ascii="Cambria Math" w:hAnsi="Cambria Math"/>
          </w:rPr>
          <m:t xml:space="preserve">2</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m:t>
        </m:r>
      </m:oMath>
      <w:r>
        <w:rPr/>
        <w:t xml:space="preserve">. Por defecto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0</m:t>
        </m:r>
      </m:oMath>
      <w:r>
        <w:rPr/>
        <w:t xml:space="preserve">. La actualización usa </w:t>
      </w:r>
      <w:r>
        <w:rPr/>
      </w:r>
      <m:oMath xmlns:m="http://schemas.openxmlformats.org/officeDocument/2006/math">
        <m:sSub>
          <m:e>
            <m:r>
              <w:rPr>
                <w:rFonts w:ascii="Cambria Math" w:hAnsi="Cambria Math"/>
              </w:rPr>
              <m:t xml:space="preserve">P</m:t>
            </m:r>
          </m:e>
          <m:sub>
            <m:r>
              <w:rPr>
                <w:rFonts w:ascii="Cambria Math" w:hAnsi="Cambria Math"/>
              </w:rPr>
              <m:t xml:space="preserve">z</m:t>
            </m:r>
            <m:r>
              <w:rPr>
                <w:rFonts w:ascii="Cambria Math" w:hAnsi="Cambria Math"/>
              </w:rPr>
              <m:t xml:space="preserve">z</m:t>
            </m:r>
          </m:sub>
        </m:sSub>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x</m:t>
            </m:r>
            <m:r>
              <w:rPr>
                <w:rFonts w:ascii="Cambria Math" w:hAnsi="Cambria Math"/>
              </w:rPr>
              <m:t xml:space="preserve">z</m:t>
            </m:r>
          </m:sub>
        </m:sSub>
      </m:oMath>
      <w:r>
        <w:rPr/>
        <w:t xml:space="preserve"> de los puntos sigma, </w:t>
      </w:r>
      <w:r>
        <w:rPr/>
      </w:r>
      <m:oMath xmlns:m="http://schemas.openxmlformats.org/officeDocument/2006/math">
        <m:r>
          <w:rPr>
            <w:rFonts w:ascii="Cambria Math" w:hAnsi="Cambria Math"/>
          </w:rPr>
          <m:t xml:space="preserve">K</m:t>
        </m:r>
        <m:r>
          <w:rPr>
            <w:rFonts w:ascii="Cambria Math" w:hAnsi="Cambria Math"/>
          </w:rPr>
          <m:t xml:space="preserve">=</m:t>
        </m:r>
        <m:sSub>
          <m:e>
            <m:r>
              <w:rPr>
                <w:rFonts w:ascii="Cambria Math" w:hAnsi="Cambria Math"/>
              </w:rPr>
              <m:t xml:space="preserve">P</m:t>
            </m:r>
          </m:e>
          <m:sub>
            <m:r>
              <w:rPr>
                <w:rFonts w:ascii="Cambria Math" w:hAnsi="Cambria Math"/>
              </w:rPr>
              <m:t xml:space="preserve">x</m:t>
            </m:r>
            <m:r>
              <w:rPr>
                <w:rFonts w:ascii="Cambria Math" w:hAnsi="Cambria Math"/>
              </w:rPr>
              <m:t xml:space="preserve">z</m:t>
            </m:r>
          </m:sub>
        </m:sSub>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oMath>
      <w:r>
        <w:rPr/>
        <w:t xml:space="preserve"> y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K</m:t>
        </m:r>
        <m:r>
          <w:rPr>
            <w:rFonts w:ascii="Cambria Math" w:hAnsi="Cambria Math"/>
          </w:rPr>
          <m:t xml:space="preserve">S</m:t>
        </m:r>
        <m:sSup>
          <m:e>
            <m:r>
              <w:rPr>
                <w:rFonts w:ascii="Cambria Math" w:hAnsi="Cambria Math"/>
              </w:rPr>
              <m:t xml:space="preserve">K</m:t>
            </m:r>
          </m:e>
          <m:sup>
            <m:r>
              <w:rPr>
                <w:rFonts w:ascii="Cambria Math" w:hAnsi="Cambria Math"/>
              </w:rPr>
              <m:t xml:space="preserve">T</m:t>
            </m:r>
          </m:sup>
        </m:sSup>
      </m:oMath>
      <w:r>
        <w:rPr/>
        <w:t>.</w:t>
      </w:r>
      <w:bookmarkEnd w:id="97"/>
    </w:p>
    <w:p>
      <w:pPr>
        <w:pStyle w:val="Heading2"/>
        <w:rPr/>
      </w:pPr>
      <w:bookmarkStart w:id="98" w:name="__RefHeading___Toc11084_1564873447"/>
      <w:bookmarkStart w:id="99" w:name="validación"/>
      <w:bookmarkEnd w:id="98"/>
      <w:r>
        <w:rPr/>
        <w:t>14.4 Validación</w:t>
      </w:r>
    </w:p>
    <w:p>
      <w:pPr>
        <w:pStyle w:val="FirstParagraph"/>
        <w:rPr/>
      </w:pPr>
      <w:r>
        <w:rPr/>
        <w:t>Se verificó que la covarianza estacionaria coincide con la solución de la ecuación algebraica de Riccati discreta (</w:t>
      </w:r>
      <w:r>
        <w:rPr>
          <w:rStyle w:val="VerbatimChar"/>
        </w:rPr>
        <w:t>scipy.linalg.solve_discrete_are</w:t>
      </w:r>
      <w:r>
        <w:rPr/>
        <w:t xml:space="preserve">), la varianza estacionaria analítica del caso escalar, error nulo con sensor sin ruido, consistencia (NIS/m ≈ 1, NEES/n ≈ 1, innovación blanca), dimensiones, simetría y definición positiva de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e igualdad KF = EKF = UKF en modelos lineales.</w:t>
      </w:r>
      <w:bookmarkEnd w:id="99"/>
    </w:p>
    <w:p>
      <w:pPr>
        <w:pStyle w:val="Heading1"/>
        <w:rPr/>
      </w:pPr>
      <w:bookmarkStart w:id="100" w:name="__RefHeading___Toc11086_1564873447"/>
      <w:bookmarkStart w:id="101" w:name="adaptación-de-covarianza"/>
      <w:bookmarkEnd w:id="100"/>
      <w:r>
        <w:rPr/>
        <w:t>15. Adaptación de covarianza</w:t>
      </w:r>
    </w:p>
    <w:p>
      <w:pPr>
        <w:pStyle w:val="FirstParagraph"/>
        <w:rPr/>
      </w:pPr>
      <w:r>
        <w:rPr/>
        <w:t xml:space="preserve">La estrategia </w:t>
      </w:r>
      <w:r>
        <w:rPr>
          <w:rStyle w:val="VerbatimChar"/>
        </w:rPr>
        <w:t>r_strategy</w:t>
      </w:r>
      <w:r>
        <w:rPr/>
        <w:t xml:space="preserve"> de la fusión centralizada permite comparar cuatro enfoques científicamente distintos:</w:t>
      </w:r>
    </w:p>
    <w:p>
      <w:pPr>
        <w:pStyle w:val="BodyText"/>
        <w:rPr/>
      </w:pPr>
      <w:r>
        <w:rPr>
          <w:b/>
          <w:bCs/>
        </w:rPr>
        <w:t xml:space="preserve">Caso A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nominal fija:</w:t>
      </w:r>
      <w:r>
        <w:rPr/>
        <w:t xml:space="preserv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oMath>
      <w:r>
        <w:rPr/>
        <w:t>.</w:t>
      </w:r>
    </w:p>
    <w:p>
      <w:pPr>
        <w:pStyle w:val="BodyText"/>
        <w:rPr/>
      </w:pPr>
      <w:r>
        <w:rPr>
          <w:b/>
          <w:bCs/>
        </w:rPr>
        <w:t xml:space="preserve">Caso B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verdadera conocida (oráculo):</w:t>
      </w:r>
      <w:r>
        <w:rPr/>
        <w:t xml:space="preserv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oMath>
      <w:r>
        <w:rPr/>
        <w:t xml:space="preserve">. Conoce la varianza real del ruido, </w:t>
      </w:r>
      <w:r>
        <w:rPr>
          <w:b/>
          <w:bCs/>
        </w:rPr>
        <w:t>no</w:t>
      </w:r>
      <w:r>
        <w:rPr/>
        <w:t xml:space="preserve"> el sesgo.</w:t>
      </w:r>
    </w:p>
    <w:p>
      <w:pPr>
        <w:pStyle w:val="BodyText"/>
        <w:rPr/>
      </w:pPr>
      <w:r>
        <w:rPr>
          <w:b/>
          <w:bCs/>
        </w:rPr>
        <w:t xml:space="preserve">Caso C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estimada en línea (Sage–Husa, emparejamiento de covarianza):</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d>
            <m:dPr>
              <m:begChr m:val="("/>
              <m:endChr m:val=")"/>
            </m:dPr>
            <m:e>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sub>
                <m:sup>
                  <m:r>
                    <w:rPr>
                      <w:rFonts w:ascii="Cambria Math" w:hAnsi="Cambria Math"/>
                    </w:rPr>
                    <m:t xml:space="preserve">T</m:t>
                  </m:r>
                </m:sup>
              </m:sSubSup>
            </m:e>
          </m:d>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b</m:t>
              </m:r>
            </m:num>
            <m:den>
              <m:r>
                <w:rPr>
                  <w:rFonts w:ascii="Cambria Math" w:hAnsi="Cambria Math"/>
                </w:rPr>
                <m:t xml:space="preserve">1</m:t>
              </m:r>
              <m:r>
                <w:rPr>
                  <w:rFonts w:ascii="Cambria Math" w:hAnsi="Cambria Math"/>
                </w:rPr>
                <m:t xml:space="preserve">−</m:t>
              </m:r>
              <m:sSup>
                <m:e>
                  <m:r>
                    <w:rPr>
                      <w:rFonts w:ascii="Cambria Math" w:hAnsi="Cambria Math"/>
                    </w:rPr>
                    <m:t xml:space="preserve">b</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den>
          </m:f>
          <m:r>
            <w:rPr>
              <w:rFonts w:ascii="Cambria Math" w:hAnsi="Cambria Math"/>
            </w:rPr>
            <m:t xml:space="preserve">,</m:t>
          </m:r>
        </m:oMath>
      </m:oMathPara>
    </w:p>
    <w:p>
      <w:pPr>
        <w:pStyle w:val="FirstParagraph"/>
        <w:rPr/>
      </w:pPr>
      <w:r>
        <w:rPr/>
        <w:t xml:space="preserve">seguido de la proyección </w:t>
      </w: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m:t>
            </m:r>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oMath>
      <w:r>
        <w:rPr/>
        <w:t xml:space="preserve"> con </w:t>
      </w:r>
      <w:r>
        <w:rPr/>
      </w:r>
      <m:oMath xmlns:m="http://schemas.openxmlformats.org/officeDocument/2006/math">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sSub>
          <m:e>
            <m:r>
              <w:rPr>
                <w:rFonts w:ascii="Cambria Math" w:hAnsi="Cambria Math"/>
              </w:rPr>
              <m:t xml:space="preserve">R</m:t>
            </m:r>
          </m:e>
          <m:sub>
            <m:r>
              <w:rPr>
                <w:rFonts w:ascii="Cambria Math" w:hAnsi="Cambria Math"/>
              </w:rPr>
              <m:t xml:space="preserve">i</m:t>
            </m:r>
          </m:sub>
        </m:sSub>
      </m:oMath>
      <w:r>
        <w:rPr/>
        <w:t xml:space="preserve"> (recorte de valores propios), </w:t>
      </w:r>
      <w:r>
        <w:rPr/>
      </w:r>
      <m:oMath xmlns:m="http://schemas.openxmlformats.org/officeDocument/2006/math">
        <m:r>
          <w:rPr>
            <w:rFonts w:ascii="Cambria Math" w:hAnsi="Cambria Math"/>
          </w:rPr>
          <m:t xml:space="preserve">b</m:t>
        </m:r>
      </m:oMath>
      <w:r>
        <w:rPr/>
        <w:t xml:space="preserve"> = </w:t>
      </w:r>
      <w:r>
        <w:rPr>
          <w:rStyle w:val="VerbatimChar"/>
        </w:rPr>
        <w:t>forgetting_factor</w:t>
      </w:r>
      <w:r>
        <w:rPr/>
        <w:t xml:space="preserve"> (0,99) y </w:t>
      </w:r>
      <w:r>
        <w:rPr/>
      </w:r>
      <m:oMath xmlns:m="http://schemas.openxmlformats.org/officeDocument/2006/math">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w:r>
        <w:rPr/>
        <w:t xml:space="preserve"> = </w:t>
      </w:r>
      <w:r>
        <w:rPr>
          <w:rStyle w:val="VerbatimChar"/>
        </w:rPr>
        <w:t>min_variance_ratio</w:t>
      </w:r>
      <w:r>
        <w:rPr/>
        <w:t xml:space="preserve"> (0,1).</w:t>
      </w:r>
    </w:p>
    <w:p>
      <w:pPr>
        <w:pStyle w:val="BodyText"/>
        <w:rPr/>
      </w:pPr>
      <w:r>
        <w:rPr>
          <w:b/>
          <w:bCs/>
        </w:rPr>
        <w:t>Caso D – ponderación SensorTrust: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f>
            <m:num>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f>
                    <m:fPr>
                      <m:type m:val="lin"/>
                    </m:fPr>
                    <m:num>
                      <m:r>
                        <w:rPr>
                          <w:rFonts w:ascii="Cambria Math" w:hAnsi="Cambria Math"/>
                        </w:rPr>
                        <m:t xml:space="preserve">)</m:t>
                      </m:r>
                    </m:num>
                    <m:den>
                      <m:limLow>
                        <m:e>
                          <m:r>
                            <w:rPr>
                              <w:rFonts w:ascii="Cambria Math" w:hAnsi="Cambria Math"/>
                            </w:rPr>
                            <m:t xml:space="preserve">max</m:t>
                          </m:r>
                        </m:e>
                        <m:lim>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lim>
                      </m:limLow>
                    </m:den>
                  </m:f>
                  <m:sSub>
                    <m:e>
                      <m:r>
                        <w:rPr>
                          <w:rFonts w:ascii="Cambria Math" w:hAnsi="Cambria Math"/>
                        </w:rPr>
                        <m:t xml:space="preserve">T</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e>
              </m:d>
            </m:den>
          </m:f>
          <m:r>
            <w:rPr>
              <w:rFonts w:ascii="Cambria Math" w:hAnsi="Cambria Math"/>
            </w:rPr>
            <m:t xml:space="preserve">.</m:t>
          </m:r>
        </m:oMath>
      </m:oMathPara>
    </w:p>
    <w:p>
      <w:pPr>
        <w:pStyle w:val="FirstParagraph"/>
        <w:rPr/>
      </w:pPr>
      <w:r>
        <w:rPr/>
        <w:t xml:space="preserve">Se usa la confianza relativa: el sensor más confiable conserva su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nominal, lo que evita que una reducción común de confianza (p. ej., al inicio) deje al filtro sin información.</w:t>
      </w:r>
    </w:p>
    <w:p>
      <w:pPr>
        <w:pStyle w:val="BodyText"/>
        <w:rPr/>
      </w:pPr>
      <w:r>
        <w:rPr>
          <w:b/>
          <w:bCs/>
        </w:rPr>
        <w:t>Compuerta de innovación (caso D):</w:t>
      </w:r>
      <w:r>
        <w:rPr/>
        <w:t xml:space="preserve"> una muestra con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&gt;</m:t>
        </m:r>
        <m:sSubSup>
          <m:e>
            <m:r>
              <w:rPr>
                <w:rFonts w:ascii="Cambria Math" w:hAnsi="Cambria Math"/>
              </w:rPr>
              <m:t xml:space="preserve">χ</m:t>
            </m:r>
          </m:e>
          <m:sub>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g</m:t>
                </m:r>
              </m:sub>
            </m:sSub>
          </m:sub>
          <m:sup>
            <m:r>
              <w:rPr>
                <w:rFonts w:ascii="Cambria Math" w:hAnsi="Cambria Math"/>
              </w:rPr>
              <m:t xml:space="preserve">2</m:t>
            </m:r>
          </m:sup>
        </m:sSubSup>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g</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oMath>
      <w:r>
        <w:rPr/>
        <w:t xml:space="preserve"> por defecto) se excluye de la actualización del estado de ese paso (sigue alimentando los momentos). Evita que un error abrupto de muchas desviaciones en un sensor dominante arrastre la predicción antes de que los momentos reaccionen. Si todas las muestras disponibles superan la compuerta, no se excluye ninguna (se evita el bloqueo tras interrupciones largas).</w:t>
      </w:r>
      <w:bookmarkEnd w:id="101"/>
    </w:p>
    <w:p>
      <w:pPr>
        <w:pStyle w:val="Heading1"/>
        <w:rPr/>
      </w:pPr>
      <w:bookmarkStart w:id="102" w:name="__RefHeading___Toc11088_1564873447"/>
      <w:bookmarkStart w:id="103" w:name="monte-carlo-y-diseño-de-experimentos"/>
      <w:bookmarkEnd w:id="102"/>
      <w:r>
        <w:rPr/>
        <w:t>16. Monte Carlo y diseño de experimentos</w:t>
      </w:r>
    </w:p>
    <w:p>
      <w:pPr>
        <w:pStyle w:val="Heading2"/>
        <w:rPr/>
      </w:pPr>
      <w:bookmarkStart w:id="104" w:name="__RefHeading___Toc11090_1564873447"/>
      <w:bookmarkStart w:id="105" w:name="motor-monte-carlo"/>
      <w:bookmarkEnd w:id="104"/>
      <w:r>
        <w:rPr/>
        <w:t>16.1 Motor Monte Carlo</w:t>
      </w:r>
    </w:p>
    <w:p>
      <w:pPr>
        <w:pStyle w:val="FirstParagraph"/>
        <w:rPr/>
      </w:pPr>
      <w:r>
        <w:rPr/>
        <w:t xml:space="preserve">Para cada corrida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t xml:space="preserve"> (</w:t>
      </w:r>
      <w:r>
        <w:rPr>
          <w:rStyle w:val="VerbatimChar"/>
        </w:rPr>
        <w:t>experiments/montecarlo.py</w:t>
      </w:r>
      <w:r>
        <w:rPr/>
        <w:t xml:space="preserve">): (1) la semilla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se deriva de la semilla maestra con </w:t>
      </w:r>
      <w:r>
        <w:rPr>
          <w:rStyle w:val="VerbatimChar"/>
        </w:rPr>
        <w:t>numpy.random.SeedSequence</w:t>
      </w:r>
      <w:r>
        <w:rPr/>
        <w:t xml:space="preserve">; (2) los parámetros variables se muestrean del diseño (semilla maestra); (3) se genera </w:t>
      </w:r>
      <w:r>
        <w:rPr>
          <w:b/>
          <w:bCs/>
        </w:rPr>
        <w:t>un</w:t>
      </w:r>
      <w:r>
        <w:rPr/>
        <w:t xml:space="preserve"> escenario con </w:t>
      </w:r>
      <w:r>
        <w:rPr/>
      </w:r>
      <m:oMath xmlns:m="http://schemas.openxmlformats.org/officeDocument/2006/math">
        <m:r>
          <w:rPr>
            <w:rFonts w:ascii="Cambria Math" w:hAnsi="Cambria Math"/>
          </w:rPr>
          <m:t xml:space="preserve">(</m:t>
        </m:r>
        <m:r>
          <m:rPr>
            <m:lit/>
            <m:nor/>
          </m:rPr>
          <w:rPr>
            <w:rFonts w:ascii="Cambria Math" w:hAnsi="Cambria Math"/>
          </w:rPr>
          <m:t xml:space="preserve">configuración</m:t>
        </m:r>
        <m:r>
          <w:rPr>
            <w:rFonts w:ascii="Cambria Math" w:hAnsi="Cambria Math"/>
          </w:rPr>
          <m:t xml:space="preserve">+</m:t>
        </m:r>
        <m:r>
          <m:rPr>
            <m:lit/>
            <m:nor/>
          </m:rPr>
          <w:rPr>
            <w:rFonts w:ascii="Cambria Math" w:hAnsi="Cambria Math"/>
          </w:rPr>
          <m:t xml:space="preserve">parámetros</m:t>
        </m:r>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oMath>
      <w:r>
        <w:rPr/>
        <w:t xml:space="preserve">; (4) todos los métodos se ejecutan sobre ese mismo escenario y se evalúan. Cada fila de </w:t>
      </w:r>
      <w:r>
        <w:rPr>
          <w:rStyle w:val="VerbatimChar"/>
        </w:rPr>
        <w:t>runs.csv</w:t>
      </w:r>
      <w:r>
        <w:rPr/>
        <w:t xml:space="preserve"> conserva la corrida, la semilla, los parámetros y la huella del conjunto de datos, de modo que cualquier corrida puede re-ejecutarse de forma exacta. Las corridas se paralelizan con procesos (</w:t>
      </w:r>
      <w:r>
        <w:rPr>
          <w:rStyle w:val="VerbatimChar"/>
        </w:rPr>
        <w:t>concurrent.futures</w:t>
      </w:r>
      <w:r>
        <w:rPr/>
        <w:t>); el resultado es idéntico al secuencial.</w:t>
      </w:r>
      <w:bookmarkEnd w:id="105"/>
    </w:p>
    <w:p>
      <w:pPr>
        <w:pStyle w:val="Heading2"/>
        <w:rPr/>
      </w:pPr>
      <w:bookmarkStart w:id="106" w:name="__RefHeading___Toc11092_1564873447"/>
      <w:bookmarkStart w:id="107" w:name="diseños-y-distribuciones"/>
      <w:bookmarkEnd w:id="106"/>
      <w:r>
        <w:rPr/>
        <w:t>16.2 Diseños y distribuciones</w:t>
      </w:r>
    </w:p>
    <w:p>
      <w:pPr>
        <w:pStyle w:val="FirstParagraph"/>
        <w:rPr/>
      </w:pPr>
      <w:r>
        <w:rPr/>
        <w:t>Diseños (</w:t>
      </w:r>
      <w:r>
        <w:rPr>
          <w:rStyle w:val="VerbatimChar"/>
        </w:rPr>
        <w:t>experiments/design.py</w:t>
      </w:r>
      <w:r>
        <w:rPr/>
        <w:t>): aleatorio (Monte Carlo simple), Latin Hypercube (</w:t>
      </w:r>
      <w:r>
        <w:rPr>
          <w:rStyle w:val="VerbatimChar"/>
        </w:rPr>
        <w:t>scipy.stats.qmc.LatinHypercube</w:t>
      </w:r>
      <w:r>
        <w:rPr/>
        <w:t>), secuencia de Sobol aleatorizada (</w:t>
      </w:r>
      <w:r>
        <w:rPr>
          <w:rStyle w:val="VerbatimChar"/>
        </w:rPr>
        <w:t>scipy.stats.qmc.Sobol</w:t>
      </w:r>
      <w:r>
        <w:rPr/>
        <w:t>) y rejilla factorial. Cada punto del hipercubo unitario se transforma con la inversa de la distribución del parámetro: uniforme, log-uniforme, normal, normal truncada, entera y elección discreta. El diseño generado se guarda con el estudio (</w:t>
      </w:r>
      <w:r>
        <w:rPr>
          <w:rStyle w:val="VerbatimChar"/>
        </w:rPr>
        <w:t>design.csv</w:t>
      </w:r>
      <w:r>
        <w:rPr/>
        <w:t>).</w:t>
      </w:r>
      <w:bookmarkEnd w:id="107"/>
    </w:p>
    <w:p>
      <w:pPr>
        <w:pStyle w:val="Heading2"/>
        <w:rPr/>
      </w:pPr>
      <w:bookmarkStart w:id="108" w:name="__RefHeading___Toc11094_1564873447"/>
      <w:bookmarkStart w:id="109" w:name="barridos-paramétricos"/>
      <w:bookmarkEnd w:id="108"/>
      <w:r>
        <w:rPr/>
        <w:t>16.3 Barridos paramétricos</w:t>
      </w:r>
    </w:p>
    <w:p>
      <w:pPr>
        <w:pStyle w:val="FirstParagraph"/>
        <w:rPr/>
      </w:pPr>
      <w:r>
        <w:rPr/>
        <w:t>Rejillas factoriales de uno o dos parámetros (</w:t>
      </w:r>
      <w:r>
        <w:rPr>
          <w:rStyle w:val="VerbatimChar"/>
        </w:rPr>
        <w:t>experiments/sweep.py</w:t>
      </w:r>
      <w:r>
        <w:rPr/>
        <w:t xml:space="preserve">) con </w:t>
      </w:r>
      <w:r>
        <w:rPr/>
      </w:r>
      <m:oMath xmlns:m="http://schemas.openxmlformats.org/officeDocument/2006/math">
        <m:r>
          <w:rPr>
            <w:rFonts w:ascii="Cambria Math" w:hAnsi="Cambria Math"/>
          </w:rPr>
          <m:t xml:space="preserve">R</m:t>
        </m:r>
      </m:oMath>
      <w:r>
        <w:rPr/>
        <w:t xml:space="preserve"> repeticiones por punto. La repetición </w:t>
      </w:r>
      <w:r>
        <w:rPr/>
      </w:r>
      <m:oMath xmlns:m="http://schemas.openxmlformats.org/officeDocument/2006/math">
        <m:r>
          <w:rPr>
            <w:rFonts w:ascii="Cambria Math" w:hAnsi="Cambria Math"/>
          </w:rPr>
          <m:t xml:space="preserve">r</m:t>
        </m:r>
      </m:oMath>
      <w:r>
        <w:rPr/>
        <w:t xml:space="preserve"> usa la misma semilla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en todos los puntos (números aleatorios comunes), de modo que las diferencias entre puntos se deben a los parámetros. Se agregan media, mediana, percentiles 5/95 y tasa de éxito, y se generan mapas como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σ</m:t>
        </m:r>
        <m:r>
          <w:rPr>
            <w:rFonts w:ascii="Cambria Math" w:hAnsi="Cambria Math"/>
          </w:rPr>
          <m:t xml:space="preserve">)</m:t>
        </m:r>
      </m:oMath>
      <w:r>
        <w:rPr/>
        <w:t xml:space="preserve"> y </w:t>
      </w:r>
      <w:r>
        <w:rPr/>
      </w:r>
      <m:oMath xmlns:m="http://schemas.openxmlformats.org/officeDocument/2006/math">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d</m:t>
        </m:r>
        <m:r>
          <w:rPr>
            <w:rFonts w:ascii="Cambria Math" w:hAnsi="Cambria Math"/>
          </w:rPr>
          <m:t xml:space="preserve">o</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σ</m:t>
        </m:r>
        <m:r>
          <w:rPr>
            <w:rFonts w:ascii="Cambria Math" w:hAnsi="Cambria Math"/>
          </w:rPr>
          <m:t xml:space="preserve">)</m:t>
        </m:r>
      </m:oMath>
      <w:r>
        <w:rPr/>
        <w:t>.</w:t>
      </w:r>
      <w:bookmarkEnd w:id="109"/>
    </w:p>
    <w:p>
      <w:pPr>
        <w:pStyle w:val="Heading2"/>
        <w:rPr/>
      </w:pPr>
      <w:bookmarkStart w:id="110" w:name="__RefHeading___Toc11096_1564873447"/>
      <w:bookmarkStart w:id="111" w:name="envolvente-de-robustez"/>
      <w:bookmarkEnd w:id="110"/>
      <w:r>
        <w:rPr/>
        <w:t>16.4 Envolvente de robustez</w:t>
      </w:r>
    </w:p>
    <w:p>
      <w:pPr>
        <w:pStyle w:val="FirstParagraph"/>
        <w:rPr/>
      </w:pPr>
      <w:r>
        <w:rPr/>
        <w:t xml:space="preserve">Para un parámetro de degradación </w:t>
      </w:r>
      <w:r>
        <w:rPr/>
      </w:r>
      <m:oMath xmlns:m="http://schemas.openxmlformats.org/officeDocument/2006/math">
        <m:r>
          <w:rPr>
            <w:rFonts w:ascii="Cambria Math" w:hAnsi="Cambria Math"/>
          </w:rPr>
          <m:t xml:space="preserve">b</m:t>
        </m:r>
      </m:oMath>
      <w:r>
        <w:rPr/>
        <w:t xml:space="preserve"> con valores ordenados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&lt;</m:t>
        </m:r>
        <m:r>
          <w:rPr>
            <w:rFonts w:ascii="Cambria Math" w:hAnsi="Cambria Math"/>
          </w:rPr>
          <m:t xml:space="preserve">…</m:t>
        </m:r>
        <m:r>
          <w:rPr>
            <w:rFonts w:ascii="Cambria Math" w:hAnsi="Cambria Math"/>
          </w:rPr>
          <m:t xml:space="preserve">&lt;</m:t>
        </m:r>
        <m:sSub>
          <m:e>
            <m:r>
              <w:rPr>
                <w:rFonts w:ascii="Cambria Math" w:hAnsi="Cambria Math"/>
              </w:rPr>
              <m:t xml:space="preserve">b</m:t>
            </m:r>
          </m:e>
          <m:sub>
            <m:r>
              <w:rPr>
                <w:rFonts w:ascii="Cambria Math" w:hAnsi="Cambria Math"/>
              </w:rPr>
              <m:t xml:space="preserve">J</m:t>
            </m:r>
          </m:sub>
        </m:sSub>
      </m:oMath>
      <w:r>
        <w:rPr/>
        <w:t xml:space="preserve"> (</w:t>
      </w:r>
      <w:r>
        <w:rPr>
          <w:rStyle w:val="VerbatimChar"/>
        </w:rPr>
        <w:t>experiments/robustness.py</w:t>
      </w:r>
      <w:r>
        <w:rPr/>
        <w:t xml:space="preserve">) y el estadístico </w:t>
      </w:r>
      <w:r>
        <w:rPr/>
      </w:r>
      <m:oMath xmlns:m="http://schemas.openxmlformats.org/officeDocument/2006/math">
        <m:r>
          <w:rPr>
            <w:rFonts w:ascii="Cambria Math" w:hAnsi="Cambria Math"/>
          </w:rPr>
          <m:t xml:space="preserve">g</m:t>
        </m:r>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oMath>
      <w:r>
        <w:rPr/>
        <w:t xml:space="preserve"> (media de la métrica o tasa de éxito sobre las repeticiones):</w:t>
      </w:r>
    </w:p>
    <w:p>
      <w:pPr>
        <w:pStyle w:val="BodyText"/>
        <w:jc w:val="center"/>
        <w:rPr/>
      </w:pPr>
      <w:r>
        <w:rPr/>
      </w:r>
      <m:oMathPara xmlns:m="http://schemas.openxmlformats.org/officeDocument/2006/math">
        <m:oMathParaPr>
          <m:jc m:val="center"/>
        </m:oMathParaPr>
        <m:oMath>
          <m:sSup>
            <m:e>
              <m:r>
                <w:rPr>
                  <w:rFonts w:ascii="Cambria Math" w:hAnsi="Cambria Math"/>
                </w:rPr>
                <m:t xml:space="preserve">b</m:t>
              </m:r>
            </m:e>
            <m:sup>
              <m:r>
                <w:rPr>
                  <w:rFonts w:ascii="Cambria Math" w:hAnsi="Cambria Math"/>
                </w:rPr>
                <m:t xml:space="preserve">⋆</m:t>
              </m:r>
            </m:sup>
          </m:sSup>
          <m:sSup>
            <m:e>
              <m:r>
                <w:rPr>
                  <w:rFonts w:ascii="Cambria Math" w:hAnsi="Cambria Math"/>
                </w:rPr>
                <m:t xml:space="preserve">=</m:t>
              </m:r>
            </m:e>
            <m:sup>
              <m:r>
                <w:rPr>
                  <w:rFonts w:ascii="Cambria Math" w:hAnsi="Cambria Math"/>
                </w:rPr>
                <m:t xml:space="preserve">{</m:t>
              </m:r>
            </m:sup>
          </m:sSup>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cumple la especificación</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m:t>
          </m:r>
        </m:oMath>
      </m:oMathPara>
    </w:p>
    <w:p>
      <w:pPr>
        <w:pStyle w:val="FirstParagraph"/>
        <w:rPr/>
      </w:pPr>
      <w:r>
        <w:rPr/>
        <w:t xml:space="preserve">refinado por interpolación lineal de </w:t>
      </w:r>
      <w:r>
        <w:rPr/>
      </w:r>
      <m:oMath xmlns:m="http://schemas.openxmlformats.org/officeDocument/2006/math">
        <m:r>
          <w:rPr>
            <w:rFonts w:ascii="Cambria Math" w:hAnsi="Cambria Math"/>
          </w:rPr>
          <m:t xml:space="preserve">g</m:t>
        </m:r>
      </m:oMath>
      <w:r>
        <w:rPr/>
        <w:t xml:space="preserve"> entre el último valor que cumple y el primero que falla. Si todos los valores cumplen se informa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oMath>
      <w:r>
        <w:rPr/>
        <w:t xml:space="preserve"> («límite no alcanzado»); si el menor valor falla, no existe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oMath>
      <w:r>
        <w:rPr/>
        <w:t xml:space="preserve">. Con criterio de media, cumplir significa </w:t>
      </w:r>
      <w:r>
        <w:rPr/>
      </w:r>
      <m:oMath xmlns:m="http://schemas.openxmlformats.org/officeDocument/2006/math">
        <m:acc>
          <m:accPr>
            <m:chr m:val="´"/>
          </m:accPr>
          <m:e>
            <m:r>
              <w:rPr>
                <w:rFonts w:ascii="Cambria Math" w:hAnsi="Cambria Math"/>
              </w:rPr>
              <m:t xml:space="preserve">g</m:t>
            </m:r>
          </m:e>
        </m:acc>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oMath>
      <w:r>
        <w:rPr/>
        <w:t xml:space="preserve">; con criterio de tasa de éxito, </w:t>
      </w: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métrica</m:t>
        </m:r>
        <m:r>
          <w:rPr>
            <w:rFonts w:ascii="Cambria Math" w:hAnsi="Cambria Math"/>
          </w:rPr>
          <m:t xml:space="preserve">≤</m:t>
        </m:r>
        <m:r>
          <m:rPr>
            <m:lit/>
            <m:nor/>
          </m:rPr>
          <w:rPr>
            <w:rFonts w:ascii="Cambria Math" w:hAnsi="Cambria Math"/>
          </w:rPr>
          <m:t xml:space="preserve">espec.</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q</m:t>
            </m:r>
          </m:sub>
        </m:sSub>
      </m:oMath>
      <w:r>
        <w:rPr/>
        <w:t>. El mapa de robustez calcula la tasa de éxito en una rejilla de dos parámetros.</w:t>
      </w:r>
      <w:bookmarkEnd w:id="103"/>
      <w:bookmarkEnd w:id="111"/>
    </w:p>
    <w:p>
      <w:pPr>
        <w:pStyle w:val="Heading1"/>
        <w:rPr/>
      </w:pPr>
      <w:bookmarkStart w:id="112" w:name="__RefHeading___Toc11098_1564873447"/>
      <w:bookmarkStart w:id="113" w:name="análisis-de-sensibilidad"/>
      <w:bookmarkEnd w:id="112"/>
      <w:r>
        <w:rPr/>
        <w:t>17. Análisis de sensibilidad</w:t>
      </w:r>
    </w:p>
    <w:p>
      <w:pPr>
        <w:pStyle w:val="FirstParagraph"/>
        <w:rPr/>
      </w:pPr>
      <w:r>
        <w:rPr/>
        <w:t xml:space="preserve">El modelo estudiado es </w:t>
      </w: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y</m:t>
        </m:r>
        <m:r>
          <w:rPr>
            <w:rFonts w:ascii="Cambria Math" w:hAnsi="Cambria Math"/>
          </w:rPr>
          <m:t xml:space="preserve">=</m:t>
        </m:r>
        <m:r>
          <m:rPr>
            <m:lit/>
            <m:nor/>
          </m:rPr>
          <w:rPr>
            <w:rFonts w:ascii="Cambria Math" w:hAnsi="Cambria Math"/>
          </w:rPr>
          <m:t xml:space="preserve">métrica</m:t>
        </m:r>
        <m:r>
          <w:rPr>
            <w:rFonts w:ascii="Cambria Math" w:hAnsi="Cambria Math"/>
          </w:rPr>
          <m:t xml:space="preserve">(</m:t>
        </m:r>
        <m:r>
          <m:rPr>
            <m:lit/>
            <m:nor/>
          </m:rPr>
          <w:rPr>
            <w:rFonts w:ascii="Cambria Math" w:hAnsi="Cambria Math"/>
          </w:rPr>
          <m:t xml:space="preserve">método</m:t>
        </m:r>
        <m:r>
          <w:rPr>
            <w:rFonts w:ascii="Cambria Math" w:hAnsi="Cambria Math"/>
          </w:rPr>
          <m:t xml:space="preserve">,</m:t>
        </m:r>
        <m:r>
          <m:rPr>
            <m:lit/>
            <m:nor/>
          </m:rPr>
          <w:rPr>
            <w:rFonts w:ascii="Cambria Math" w:hAnsi="Cambria Math"/>
          </w:rPr>
          <m:t xml:space="preserve">escenario</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oMath>
      <w:r>
        <w:rPr/>
        <w:t xml:space="preserve"> (</w:t>
      </w:r>
      <w:r>
        <w:rPr>
          <w:rStyle w:val="VerbatimChar"/>
        </w:rPr>
        <w:t>experiments/sensitivity.py</w:t>
      </w:r>
      <w:r>
        <w:rPr/>
        <w:t xml:space="preserve">). Con </w:t>
      </w:r>
      <w:r>
        <w:rPr>
          <w:rStyle w:val="VerbatimChar"/>
        </w:rPr>
        <w:t>seed_mode: common</w:t>
      </w:r>
      <w:r>
        <w:rPr/>
        <w:t xml:space="preserve"> todas las evaluaciones usan el mismo escenario aleatorio, de modo que los índices miden el efecto de los parámetros y no del ruido.</w:t>
      </w:r>
    </w:p>
    <w:p>
      <w:pPr>
        <w:pStyle w:val="BodyText"/>
        <w:rPr/>
      </w:pPr>
      <w:r>
        <w:rPr>
          <w:b/>
          <w:bCs/>
        </w:rPr>
        <w:t>One-at-a-Time (OAT):</w:t>
      </w:r>
      <w:r>
        <w:rPr/>
        <w:t xml:space="preserve"> cada parámetro recorre </w:t>
      </w:r>
      <w:r>
        <w:rPr>
          <w:rStyle w:val="VerbatimChar"/>
        </w:rPr>
        <w:t>levels</w:t>
      </w:r>
      <w:r>
        <w:rPr/>
        <w:t xml:space="preserve"> valores en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oMath>
      <w:r>
        <w:rPr/>
        <w:t xml:space="preserve"> con los demás en su valor nominal; se reporta el rango de salida por parámetro.</w:t>
      </w:r>
    </w:p>
    <w:p>
      <w:pPr>
        <w:pStyle w:val="BodyText"/>
        <w:rPr/>
      </w:pPr>
      <w:r>
        <w:rPr>
          <w:b/>
          <w:bCs/>
        </w:rPr>
        <w:t>Morris (efectos elementales, SALib):</w:t>
      </w:r>
      <w:r>
        <w:rPr/>
        <w:t xml:space="preserve"> </w:t>
      </w:r>
      <w:r>
        <w:rPr/>
      </w:r>
      <m:oMath xmlns:m="http://schemas.openxmlformats.org/officeDocument/2006/math">
        <m:r>
          <w:rPr>
            <w:rFonts w:ascii="Cambria Math" w:hAnsi="Cambria Math"/>
          </w:rPr>
          <m:t xml:space="preserve">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f>
          <m:fPr>
            <m:type m:val="lin"/>
          </m:fPr>
          <m:num>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Δ</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θ</m:t>
                </m:r>
                <m:r>
                  <w:rPr>
                    <w:rFonts w:ascii="Cambria Math" w:hAnsi="Cambria Math"/>
                  </w:rPr>
                  <m:t xml:space="preserve">)</m:t>
                </m:r>
              </m:e>
            </m:d>
          </m:num>
          <m:den>
            <m:r>
              <w:rPr>
                <w:rFonts w:ascii="Cambria Math" w:hAnsi="Cambria Math"/>
              </w:rPr>
              <m:t xml:space="preserve">Δ</m:t>
            </m:r>
          </m:den>
        </m:f>
      </m:oMath>
      <w:r>
        <w:rPr/>
        <w:t xml:space="preserve"> sobre </w:t>
      </w:r>
      <w:r>
        <w:rPr/>
      </w:r>
      <m:oMath xmlns:m="http://schemas.openxmlformats.org/officeDocument/2006/math">
        <m:r>
          <w:rPr>
            <w:rFonts w:ascii="Cambria Math" w:hAnsi="Cambria Math"/>
          </w:rPr>
          <m:t xml:space="preserve">N</m:t>
        </m:r>
      </m:oMath>
      <w:r>
        <w:rPr/>
        <w:t xml:space="preserve"> trayectorias en una rejilla de </w:t>
      </w:r>
      <w:r>
        <w:rPr>
          <w:rStyle w:val="VerbatimChar"/>
        </w:rPr>
        <w:t>num_levels</w:t>
      </w:r>
      <w:r>
        <w:rPr/>
        <w:t xml:space="preserve"> niveles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evaluaciones); </w:t>
      </w:r>
      <w:r>
        <w:rPr/>
      </w:r>
      <m:oMath xmlns:m="http://schemas.openxmlformats.org/officeDocument/2006/math">
        <m:sSubSup>
          <m:e>
            <m:r>
              <w:rPr>
                <w:rFonts w:ascii="Cambria Math" w:hAnsi="Cambria Math"/>
              </w:rPr>
              <m:t xml:space="preserve">μ</m:t>
            </m:r>
          </m:e>
          <m:sub>
            <m:r>
              <w:rPr>
                <w:rFonts w:ascii="Cambria Math" w:hAnsi="Cambria Math"/>
              </w:rPr>
              <m:t xml:space="preserve">i</m:t>
            </m:r>
          </m:sub>
          <m:sup>
            <m:r>
              <w:rPr>
                <w:rFonts w:ascii="Cambria Math" w:hAnsi="Cambria Math"/>
              </w:rPr>
              <m:t xml:space="preserve">⋆</m:t>
            </m:r>
          </m:sup>
        </m:sSubSup>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oMath>
      <w:r>
        <w:rPr/>
        <w:t xml:space="preserve"> mide la importancia y </w:t>
      </w:r>
      <w:r>
        <w:rPr/>
      </w:r>
      <m:oMath xmlns:m="http://schemas.openxmlformats.org/officeDocument/2006/math">
        <m:sSub>
          <m:e>
            <m:r>
              <w:rPr>
                <w:rFonts w:ascii="Cambria Math" w:hAnsi="Cambria Math"/>
              </w:rPr>
              <m:t xml:space="preserve">σ</m:t>
            </m:r>
          </m:e>
          <m:sub>
            <m:r>
              <w:rPr>
                <w:rFonts w:ascii="Cambria Math" w:hAnsi="Cambria Math"/>
              </w:rPr>
              <m:t xml:space="preserve">i</m:t>
            </m:r>
          </m:sub>
        </m:sSub>
      </m:oMath>
      <w:r>
        <w:rPr/>
        <w:t xml:space="preserve"> la no linealidad o interacción.</w:t>
      </w:r>
    </w:p>
    <w:p>
      <w:pPr>
        <w:pStyle w:val="BodyText"/>
        <w:rPr/>
      </w:pPr>
      <w:r>
        <w:rPr>
          <w:b/>
          <w:bCs/>
        </w:rPr>
        <w:t>Sobol (SALib, esquema de Saltelli):</w:t>
      </w:r>
      <w:r>
        <w:rPr/>
        <w:t xml:space="preserve"> índices de primer orden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r</m:t>
        </m:r>
        <m:f>
          <m:fPr>
            <m:type m:val="lin"/>
          </m:fPr>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d>
          </m:num>
          <m:den>
            <m:r>
              <w:rPr>
                <w:rFonts w:ascii="Cambria Math" w:hAnsi="Cambria Math"/>
              </w:rPr>
              <m:t xml:space="preserve">V</m:t>
            </m:r>
          </m:den>
        </m:f>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oMath>
      <w:r>
        <w:rPr/>
        <w:t xml:space="preserve"> y totales </w:t>
      </w:r>
      <w:r>
        <w:rPr/>
      </w:r>
      <m:oMath xmlns:m="http://schemas.openxmlformats.org/officeDocument/2006/math">
        <m:sSub>
          <m:e>
            <m:r>
              <w:rPr>
                <w:rFonts w:ascii="Cambria Math" w:hAnsi="Cambria Math"/>
              </w:rPr>
              <m:t xml:space="preserve">S</m:t>
            </m:r>
          </m:e>
          <m:sub>
            <m:sSub>
              <m:e>
                <m:r>
                  <w:rPr>
                    <w:rFonts w:ascii="Cambria Math" w:hAnsi="Cambria Math"/>
                  </w:rPr>
                  <m:t xml:space="preserve">T</m:t>
                </m:r>
              </m:e>
              <m:sub>
                <m:r>
                  <w:rPr>
                    <w:rFonts w:ascii="Cambria Math" w:hAnsi="Cambria Math"/>
                  </w:rPr>
                  <m:t xml:space="preserve">i</m:t>
                </m:r>
              </m:sub>
            </m:sSub>
          </m:sub>
        </m:sSub>
        <m:r>
          <w:rPr>
            <w:rFonts w:ascii="Cambria Math" w:hAnsi="Cambria Math"/>
          </w:rPr>
          <m:t xml:space="preserve">=</m:t>
        </m:r>
        <m:r>
          <w:rPr>
            <w:rFonts w:ascii="Cambria Math" w:hAnsi="Cambria Math"/>
          </w:rPr>
          <m:t xml:space="preserve">E</m:t>
        </m:r>
        <m:f>
          <m:fPr>
            <m:type m:val="lin"/>
          </m:fPr>
          <m:num>
            <m:d>
              <m:dPr>
                <m:begChr m:val="["/>
                <m:endChr m:val="]"/>
              </m:dPr>
              <m:e>
                <m:r>
                  <w:rPr>
                    <w:rFonts w:ascii="Cambria Math" w:hAnsi="Cambria Math"/>
                  </w:rPr>
                  <m:t xml:space="preserve">V</m:t>
                </m:r>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θ</m:t>
                    </m:r>
                  </m:e>
                  <m:sub>
                    <m:r>
                      <w:rPr>
                        <w:rFonts w:ascii="Cambria Math" w:hAnsi="Cambria Math"/>
                      </w:rPr>
                      <m:t xml:space="preserve">∼</m:t>
                    </m:r>
                    <m:r>
                      <w:rPr>
                        <w:rFonts w:ascii="Cambria Math" w:hAnsi="Cambria Math"/>
                      </w:rPr>
                      <m:t xml:space="preserve">i</m:t>
                    </m:r>
                  </m:sub>
                </m:sSub>
                <m:r>
                  <w:rPr>
                    <w:rFonts w:ascii="Cambria Math" w:hAnsi="Cambria Math"/>
                  </w:rPr>
                  <m:t xml:space="preserve">)</m:t>
                </m:r>
              </m:e>
            </m:d>
          </m:num>
          <m:den>
            <m:r>
              <w:rPr>
                <w:rFonts w:ascii="Cambria Math" w:hAnsi="Cambria Math"/>
              </w:rPr>
              <m:t xml:space="preserve">V</m:t>
            </m:r>
          </m:den>
        </m:f>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oMath>
      <w:r>
        <w:rPr/>
        <w:t xml:space="preserve"> con intervalos bootstrap, usando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m:t>
        </m:r>
      </m:oMath>
      <w:r>
        <w:rPr/>
        <w:t xml:space="preserve"> evaluaciones.</w:t>
      </w:r>
      <w:bookmarkEnd w:id="113"/>
    </w:p>
    <w:p>
      <w:pPr>
        <w:pStyle w:val="Heading1"/>
        <w:rPr/>
      </w:pPr>
      <w:bookmarkStart w:id="114" w:name="__RefHeading___Toc11100_1564873447"/>
      <w:bookmarkStart w:id="115" w:name="métricas"/>
      <w:bookmarkEnd w:id="114"/>
      <w:r>
        <w:rPr/>
        <w:t>18. Métricas</w:t>
      </w:r>
    </w:p>
    <w:p>
      <w:pPr>
        <w:pStyle w:val="Heading2"/>
        <w:rPr/>
      </w:pPr>
      <w:bookmarkStart w:id="116" w:name="__RefHeading___Toc11102_1564873447"/>
      <w:bookmarkStart w:id="117" w:name="estimación"/>
      <w:bookmarkEnd w:id="116"/>
      <w:r>
        <w:rPr/>
        <w:t>18.1 Estimación</w:t>
      </w:r>
    </w:p>
    <w:p>
      <w:pPr>
        <w:pStyle w:val="FirstParagraph"/>
        <w:rPr/>
      </w:pPr>
      <w:r>
        <w:rPr/>
        <w:t xml:space="preserve">Para la componente evaluada </w:t>
      </w:r>
      <w:r>
        <w:rPr/>
      </w:r>
      <m:oMath xmlns:m="http://schemas.openxmlformats.org/officeDocument/2006/math">
        <m:r>
          <w:rPr>
            <w:rFonts w:ascii="Cambria Math" w:hAnsi="Cambria Math"/>
          </w:rPr>
          <m:t xml:space="preserve">j</m:t>
        </m:r>
      </m:oMath>
      <w:r>
        <w:rPr/>
        <w:t xml:space="preserve"> (</w:t>
      </w:r>
      <w:r>
        <w:rPr>
          <w:rStyle w:val="VerbatimChar"/>
        </w:rPr>
        <w:t>metrics.target_state</w:t>
      </w:r>
      <w:r>
        <w:rPr/>
        <w:t xml:space="preserve">) y el conjunto de evaluación </w:t>
      </w:r>
      <w:r>
        <w:rPr/>
      </w:r>
      <m:oMath xmlns:m="http://schemas.openxmlformats.org/officeDocument/2006/math">
        <m:r>
          <w:rPr>
            <w:rFonts w:ascii="Cambria Math" w:hAnsi="Cambria Math"/>
          </w:rPr>
          <m:t xml:space="preserve">I</m:t>
        </m:r>
      </m:oMath>
      <w:r>
        <w:rPr/>
        <w:t xml:space="preserve"> (todas las muestras tras el calentamiento, o una fase), con </w:t>
      </w:r>
      <w:r>
        <w:rPr/>
      </w:r>
      <m:oMath xmlns:m="http://schemas.openxmlformats.org/officeDocument/2006/math">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I</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I</m:t>
                      </m:r>
                    </m:sub>
                    <m:sup/>
                    <m:e>
                      <m:sSubSup>
                        <m:e>
                          <m:r>
                            <w:rPr>
                              <w:rFonts w:ascii="Cambria Math" w:hAnsi="Cambria Math"/>
                            </w:rPr>
                            <m:t xml:space="preserve">e</m:t>
                          </m:r>
                        </m:e>
                        <m:sub>
                          <m:r>
                            <w:rPr>
                              <w:rFonts w:ascii="Cambria Math" w:hAnsi="Cambria Math"/>
                            </w:rPr>
                            <m:t xml:space="preserve">k</m:t>
                          </m:r>
                        </m:sub>
                        <m:sup>
                          <m:r>
                            <w:rPr>
                              <w:rFonts w:ascii="Cambria Math" w:hAnsi="Cambria Math"/>
                            </w:rPr>
                            <m:t xml:space="preserve">2</m:t>
                          </m:r>
                        </m:sup>
                      </m:sSubSup>
                    </m:e>
                  </m:nary>
                </m:den>
              </m:f>
              <m:r>
                <w:rPr>
                  <w:rFonts w:ascii="Cambria Math" w:hAnsi="Cambria Math"/>
                </w:rPr>
                <m:t xml:space="preserve">,</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I</m:t>
                  </m:r>
                  <m:r>
                    <w:rPr>
                      <w:rFonts w:ascii="Cambria Math" w:hAnsi="Cambria Math"/>
                    </w:rPr>
                    <m:t xml:space="preserve">∨</m:t>
                  </m:r>
                  <m:r>
                    <w:rPr>
                      <w:rFonts w:ascii="Cambria Math" w:hAnsi="Cambria Math"/>
                    </w:rPr>
                    <m:t xml:space="preserve">∑</m:t>
                  </m:r>
                  <m:sSubSup>
                    <m:e>
                      <m:r>
                        <w:rPr>
                          <w:rFonts w:ascii="Cambria Math" w:hAnsi="Cambria Math"/>
                        </w:rPr>
                        <m:t xml:space="preserve">e</m:t>
                      </m:r>
                    </m:e>
                    <m:sub>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f>
                        <m:num>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num>
                        <m:den>
                          <m:limLow>
                            <m:e>
                              <m:r>
                                <w:rPr>
                                  <w:rFonts w:ascii="Cambria Math" w:hAnsi="Cambria Math"/>
                                </w:rPr>
                                <m:t xml:space="preserve">max</m:t>
                              </m:r>
                            </m:e>
                            <m:lim>
                              <m:r>
                                <w:rPr>
                                  <w:rFonts w:ascii="Cambria Math" w:hAnsi="Cambria Math"/>
                                </w:rPr>
                                <m:t xml:space="preserve">k</m:t>
                              </m:r>
                            </m:lim>
                          </m:limLow>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r>
                            <w:rPr>
                              <w:rFonts w:ascii="Cambria Math" w:hAnsi="Cambria Math"/>
                            </w:rPr>
                            <m:t xml:space="preserve">−</m:t>
                          </m:r>
                          <m:limLow>
                            <m:e>
                              <m:r>
                                <w:rPr>
                                  <w:rFonts w:ascii="Cambria Math" w:hAnsi="Cambria Math"/>
                                </w:rPr>
                                <m:t xml:space="preserve">min</m:t>
                              </m:r>
                            </m:e>
                            <m:lim>
                              <m:r>
                                <w:rPr>
                                  <w:rFonts w:ascii="Cambria Math" w:hAnsi="Cambria Math"/>
                                </w:rPr>
                                <m:t xml:space="preserve">k</m:t>
                              </m:r>
                            </m:lim>
                          </m:limLow>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den>
                      </m:f>
                      <m:r>
                        <w:rPr>
                          <w:rFonts w:ascii="Cambria Math" w:hAnsi="Cambria Math"/>
                        </w:rPr>
                        <m:t xml:space="preserve">,</m:t>
                      </m:r>
                    </m:den>
                  </m:f>
                </m:den>
              </m:f>
            </m:e>
          </m:rad>
        </m:oMath>
      </m:oMathPara>
    </w:p>
    <w:p>
      <w:pPr>
        <w:pStyle w:val="FirstParagraph"/>
        <w:rPr/>
      </w:pPr>
      <w:r>
        <w:rPr/>
        <w:t xml:space="preserve">además de error máximo </w:t>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sesgo </w:t>
      </w:r>
      <w:r>
        <w:rPr/>
      </w:r>
      <m:oMath xmlns:m="http://schemas.openxmlformats.org/officeDocument/2006/math">
        <m:acc>
          <m:accPr>
            <m:chr m:val="´"/>
          </m:accPr>
          <m:e>
            <m:r>
              <w:rPr>
                <w:rFonts w:ascii="Cambria Math" w:hAnsi="Cambria Math"/>
              </w:rPr>
              <m:t xml:space="preserve">e</m:t>
            </m:r>
          </m:e>
        </m:acc>
      </m:oMath>
      <w:r>
        <w:rPr/>
        <w:t xml:space="preserve">, varianza del error (divisor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error final </w:t>
      </w:r>
      <w:r>
        <w:rPr/>
      </w:r>
      <m:oMath xmlns:m="http://schemas.openxmlformats.org/officeDocument/2006/math">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y RMSE antes, durante y después de los fallos (fases definidas por el valor verdadero de fallos de todos los sensores). También se reporta el RMSE de cada estado.</w:t>
      </w:r>
      <w:bookmarkEnd w:id="117"/>
    </w:p>
    <w:p>
      <w:pPr>
        <w:pStyle w:val="Heading2"/>
        <w:rPr/>
      </w:pPr>
      <w:bookmarkStart w:id="118" w:name="__RefHeading___Toc11104_1564873447"/>
      <w:bookmarkStart w:id="119" w:name="consistencia"/>
      <w:bookmarkEnd w:id="118"/>
      <w:r>
        <w:rPr/>
        <w:t>18.2 Consistencia</w:t>
      </w:r>
    </w:p>
    <w:p>
      <w:pPr>
        <w:pStyle w:val="FirstParagraph"/>
        <w:rPr/>
      </w:pPr>
      <w:r>
        <w:rPr/>
      </w:r>
      <m:oMath xmlns:m="http://schemas.openxmlformats.org/officeDocument/2006/math">
        <m:sSub>
          <m:e>
            <m:r>
              <w:rPr>
                <w:rFonts w:ascii="Cambria Math" w:hAnsi="Cambria Math"/>
              </w:rPr>
              <m:t xml:space="preserve">N</m:t>
            </m:r>
            <m:r>
              <w:rPr>
                <w:rFonts w:ascii="Cambria Math" w:hAnsi="Cambria Math"/>
              </w:rPr>
              <m:t xml:space="preserve">I</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ν</m:t>
            </m:r>
          </m:e>
          <m:sub>
            <m:r>
              <w:rPr>
                <w:rFonts w:ascii="Cambria Math" w:hAnsi="Cambria Math"/>
              </w:rPr>
              <m:t xml:space="preserve">k</m:t>
            </m:r>
          </m:sub>
          <m:sup>
            <m:r>
              <w:rPr>
                <w:rFonts w:ascii="Cambria Math" w:hAnsi="Cambria Math"/>
              </w:rPr>
              <m:t xml:space="preserve">T</m:t>
            </m:r>
          </m:sup>
        </m:sSub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k</m:t>
            </m:r>
          </m:sub>
        </m:sSub>
        <m:r>
          <w:rPr>
            <w:rFonts w:ascii="Cambria Math" w:hAnsi="Cambria Math"/>
          </w:rPr>
          <m:t xml:space="preserve">)</m:t>
        </m:r>
      </m:oMath>
      <w:r>
        <w:rPr/>
        <w:t xml:space="preserve"> </w:t>
      </w:r>
      <w:r>
        <w:rPr/>
        <w:t xml:space="preserve">y </w:t>
      </w:r>
      <w:r>
        <w:rPr/>
      </w:r>
      <m:oMath xmlns:m="http://schemas.openxmlformats.org/officeDocument/2006/math">
        <m:sSub>
          <m:e>
            <m:r>
              <w:rPr>
                <w:rFonts w:ascii="Cambria Math" w:hAnsi="Cambria Math"/>
              </w:rPr>
              <m:t xml:space="preserve">N</m:t>
            </m:r>
            <m:r>
              <w:rPr>
                <w:rFonts w:ascii="Cambria Math" w:hAnsi="Cambria Math"/>
              </w:rPr>
              <m:t xml:space="preserve">E</m:t>
            </m:r>
            <m:r>
              <w:rPr>
                <w:rFonts w:ascii="Cambria Math" w:hAnsi="Cambria Math"/>
              </w:rPr>
              <m:t xml:space="preserve">E</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sub>
        </m:sSub>
        <m:sSup>
          <m:e>
            <m:r>
              <w:rPr>
                <w:rFonts w:ascii="Cambria Math" w:hAnsi="Cambria Math"/>
              </w:rPr>
              <m:t xml:space="preserve">)</m:t>
            </m:r>
          </m:e>
          <m:sup>
            <m:r>
              <w:rPr>
                <w:rFonts w:ascii="Cambria Math" w:hAnsi="Cambria Math"/>
              </w:rPr>
              <m:t xml:space="preserve">T</m:t>
            </m:r>
          </m:sup>
        </m:sSup>
        <m:sSubSup>
          <m:e>
            <m:r>
              <w:rPr>
                <w:rFonts w:ascii="Cambria Math" w:hAnsi="Cambria Math"/>
              </w:rPr>
              <m:t xml:space="preserve">P</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r>
          <w:rPr>
            <w:rFonts w:ascii="Cambria Math" w:hAnsi="Cambria Math"/>
          </w:rPr>
          <m:t xml:space="preserve">)</m:t>
        </m:r>
      </m:oMath>
      <w:r>
        <w:rPr/>
        <w:t xml:space="preserve"> para un filtro consistente; se reportan el valor medio normalizado (</w:t>
      </w:r>
      <w:r>
        <w:rPr/>
      </w:r>
      <m:oMath xmlns:m="http://schemas.openxmlformats.org/officeDocument/2006/math">
        <m:bar>
          <m:barPr>
            <m:pos m:val="top"/>
          </m:barPr>
          <m:e>
            <m:r>
              <w:rPr>
                <w:rFonts w:ascii="Cambria Math" w:hAnsi="Cambria Math"/>
              </w:rPr>
              <m:t xml:space="preserve">N</m:t>
            </m:r>
            <m:r>
              <w:rPr>
                <w:rFonts w:ascii="Cambria Math" w:hAnsi="Cambria Math"/>
              </w:rPr>
              <m:t xml:space="preserve">I</m:t>
            </m:r>
            <m:f>
              <m:fPr>
                <m:type m:val="lin"/>
              </m:fPr>
              <m:num>
                <m:r>
                  <w:rPr>
                    <w:rFonts w:ascii="Cambria Math" w:hAnsi="Cambria Math"/>
                  </w:rPr>
                  <m:t xml:space="preserve">S</m:t>
                </m:r>
              </m:num>
              <m:den>
                <m:r>
                  <w:rPr>
                    <w:rFonts w:ascii="Cambria Math" w:hAnsi="Cambria Math"/>
                  </w:rPr>
                  <m:t xml:space="preserve">m</m:t>
                </m:r>
              </m:den>
            </m:f>
          </m:e>
        </m:bar>
      </m:oMath>
      <w:r>
        <w:rPr/>
        <w:t xml:space="preserve">, </w:t>
      </w:r>
      <w:r>
        <w:rPr/>
      </w:r>
      <m:oMath xmlns:m="http://schemas.openxmlformats.org/officeDocument/2006/math">
        <m:f>
          <m:fPr>
            <m:type m:val="lin"/>
          </m:fPr>
          <m:num>
            <m:bar>
              <m:barPr>
                <m:pos m:val="top"/>
              </m:barPr>
              <m:e>
                <m:r>
                  <w:rPr>
                    <w:rFonts w:ascii="Cambria Math" w:hAnsi="Cambria Math"/>
                  </w:rPr>
                  <m:t xml:space="preserve">N</m:t>
                </m:r>
                <m:r>
                  <w:rPr>
                    <w:rFonts w:ascii="Cambria Math" w:hAnsi="Cambria Math"/>
                  </w:rPr>
                  <m:t xml:space="preserve">E</m:t>
                </m:r>
                <m:r>
                  <w:rPr>
                    <w:rFonts w:ascii="Cambria Math" w:hAnsi="Cambria Math"/>
                  </w:rPr>
                  <m:t xml:space="preserve">E</m:t>
                </m:r>
                <m:r>
                  <w:rPr>
                    <w:rFonts w:ascii="Cambria Math" w:hAnsi="Cambria Math"/>
                  </w:rPr>
                  <m:t xml:space="preserve">S</m:t>
                </m:r>
              </m:e>
            </m:bar>
          </m:num>
          <m:den>
            <m:r>
              <w:rPr>
                <w:rFonts w:ascii="Cambria Math" w:hAnsi="Cambria Math"/>
              </w:rPr>
              <m:t xml:space="preserve">n</m:t>
            </m:r>
          </m:den>
        </m:f>
      </m:oMath>
      <w:r>
        <w:rPr/>
        <w:t xml:space="preserve">, ≈ 1) y la fracción de pasos dentro del intervalo chi-cuadrado bilateral del 95 %. NIS solo se calcula para métodos con innovación y covarianza; NEES solo para métodos con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xml:space="preserve"> y estimación del estado completo.</w:t>
      </w:r>
      <w:bookmarkEnd w:id="119"/>
    </w:p>
    <w:p>
      <w:pPr>
        <w:pStyle w:val="Heading2"/>
        <w:rPr/>
      </w:pPr>
      <w:bookmarkStart w:id="120" w:name="__RefHeading___Toc11106_1564873447"/>
      <w:bookmarkStart w:id="121" w:name="detección"/>
      <w:bookmarkEnd w:id="120"/>
      <w:r>
        <w:rPr/>
        <w:t>18.3 Detección</w:t>
      </w:r>
    </w:p>
    <w:p>
      <w:pPr>
        <w:pStyle w:val="FirstParagraph"/>
        <w:rPr/>
      </w:pPr>
      <w:r>
        <w:rPr/>
        <w:t xml:space="preserve">Solo para métodos que declaran alarmas, por muestra y tras el calentamiento: VP, FP, FN, VN; precisión </w:t>
      </w:r>
      <w:r>
        <w:rPr/>
      </w:r>
      <m:oMath xmlns:m="http://schemas.openxmlformats.org/officeDocument/2006/math">
        <m:r>
          <w:rPr>
            <w:rFonts w:ascii="Cambria Math" w:hAnsi="Cambria Math"/>
          </w:rPr>
          <m:t xml:space="preserve">V</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P</m:t>
        </m:r>
        <m:r>
          <w:rPr>
            <w:rFonts w:ascii="Cambria Math" w:hAnsi="Cambria Math"/>
          </w:rPr>
          <m:t xml:space="preserve">)</m:t>
        </m:r>
      </m:oMath>
      <w:r>
        <w:rPr/>
        <w:t xml:space="preserve">; exhaustividad </w:t>
      </w:r>
      <w:r>
        <w:rPr/>
      </w:r>
      <m:oMath xmlns:m="http://schemas.openxmlformats.org/officeDocument/2006/math">
        <m:r>
          <w:rPr>
            <w:rFonts w:ascii="Cambria Math" w:hAnsi="Cambria Math"/>
          </w:rPr>
          <m:t xml:space="preserve">V</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2</m:t>
        </m:r>
        <m:r>
          <w:rPr>
            <w:rFonts w:ascii="Cambria Math" w:hAnsi="Cambria Math"/>
          </w:rPr>
          <m:t xml:space="preserve">P</m:t>
        </m:r>
        <m:f>
          <m:fPr>
            <m:type m:val="lin"/>
          </m:fPr>
          <m:num>
            <m:r>
              <w:rPr>
                <w:rFonts w:ascii="Cambria Math" w:hAnsi="Cambria Math"/>
              </w:rPr>
              <m:t xml:space="preserve">R</m:t>
            </m:r>
          </m:num>
          <m:den>
            <m:r>
              <w:rPr>
                <w:rFonts w:ascii="Cambria Math" w:hAnsi="Cambria Math"/>
              </w:rPr>
              <m:t xml:space="preserve">(</m:t>
            </m:r>
          </m:den>
        </m:f>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m:t>
        </m:r>
      </m:oMath>
      <w:r>
        <w:rPr/>
        <w:t xml:space="preserve">; tasa de falsa alarma </w:t>
      </w:r>
      <w:r>
        <w:rPr/>
      </w:r>
      <m:oMath xmlns:m="http://schemas.openxmlformats.org/officeDocument/2006/math">
        <m:r>
          <w:rPr>
            <w:rFonts w:ascii="Cambria Math" w:hAnsi="Cambria Math"/>
          </w:rPr>
          <m:t xml:space="preserve">F</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F</m:t>
        </m:r>
        <m:r>
          <w:rPr>
            <w:rFonts w:ascii="Cambria Math" w:hAnsi="Cambria Math"/>
          </w:rPr>
          <m:t xml:space="preserve">P</m:t>
        </m:r>
        <m:r>
          <w:rPr>
            <w:rFonts w:ascii="Cambria Math" w:hAnsi="Cambria Math"/>
          </w:rPr>
          <m:t xml:space="preserve">+</m:t>
        </m:r>
        <m:r>
          <w:rPr>
            <w:rFonts w:ascii="Cambria Math" w:hAnsi="Cambria Math"/>
          </w:rPr>
          <m:t xml:space="preserve">V</m:t>
        </m:r>
        <m:r>
          <w:rPr>
            <w:rFonts w:ascii="Cambria Math" w:hAnsi="Cambria Math"/>
          </w:rPr>
          <m:t xml:space="preserve">N</m:t>
        </m:r>
        <m:r>
          <w:rPr>
            <w:rFonts w:ascii="Cambria Math" w:hAnsi="Cambria Math"/>
          </w:rPr>
          <m:t xml:space="preserve">)</m:t>
        </m:r>
      </m:oMath>
      <w:r>
        <w:rPr/>
        <w:t xml:space="preserve">; tasa de detección fallida </w:t>
      </w:r>
      <w:r>
        <w:rPr/>
      </w:r>
      <m:oMath xmlns:m="http://schemas.openxmlformats.org/officeDocument/2006/math">
        <m:r>
          <w:rPr>
            <w:rFonts w:ascii="Cambria Math" w:hAnsi="Cambria Math"/>
          </w:rPr>
          <m:t xml:space="preserve">F</m:t>
        </m:r>
        <m:f>
          <m:fPr>
            <m:type m:val="lin"/>
          </m:fPr>
          <m:num>
            <m:r>
              <w:rPr>
                <w:rFonts w:ascii="Cambria Math" w:hAnsi="Cambria Math"/>
              </w:rPr>
              <m:t xml:space="preserve">N</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oMath>
      <w:r>
        <w:rPr/>
        <w:t xml:space="preserve">; retardo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a</m:t>
            </m:r>
            <m:r>
              <w:rPr>
                <w:rFonts w:ascii="Cambria Math" w:hAnsi="Cambria Math"/>
              </w:rPr>
              <m:t xml:space="preserve">u</m:t>
            </m:r>
            <m:r>
              <w:rPr>
                <w:rFonts w:ascii="Cambria Math" w:hAnsi="Cambria Math"/>
              </w:rPr>
              <m:t xml:space="preserve">l</m:t>
            </m:r>
            <m:r>
              <w:rPr>
                <w:rFonts w:ascii="Cambria Math" w:hAnsi="Cambria Math"/>
              </w:rPr>
              <m:t xml:space="preserve">t</m:t>
            </m:r>
          </m:sub>
        </m:sSub>
      </m:oMath>
      <w:r>
        <w:rPr/>
        <w:t xml:space="preserve"> por degradación (primera alarma desde el inicio configurado mientras el fallo está activo; «no detectado» en otro caso) y número de eventos de falsa alarma (flancos de subida sin fallo). No se calculan para métodos que solo reponderan.</w:t>
      </w:r>
      <w:bookmarkEnd w:id="121"/>
    </w:p>
    <w:p>
      <w:pPr>
        <w:pStyle w:val="Heading2"/>
        <w:rPr/>
      </w:pPr>
      <w:bookmarkStart w:id="122" w:name="__RefHeading___Toc11108_1564873447"/>
      <w:bookmarkStart w:id="123" w:name="confianza-y-pesos"/>
      <w:bookmarkEnd w:id="122"/>
      <w:r>
        <w:rPr/>
        <w:t>18.4 Confianza y pesos</w:t>
      </w:r>
    </w:p>
    <w:p>
      <w:pPr>
        <w:pStyle w:val="FirstParagraph"/>
        <w:rPr/>
      </w:pPr>
      <w:r>
        <w:rPr/>
        <w:t xml:space="preserve">Por sensor: confianza media nominal (antes del primer fallo del sensor), varianza nominal, confianza media y mínima durante el fallo, tiempo de respuesta (desde el inicio hasta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&lt;</m:t>
        </m:r>
      </m:oMath>
      <w:r>
        <w:rPr/>
        <w:t xml:space="preserve"> </w:t>
      </w:r>
      <w:r>
        <w:rPr>
          <w:rStyle w:val="VerbatimChar"/>
        </w:rPr>
        <w:t>trust_threshold</w:t>
      </w:r>
      <w:r>
        <w:rPr/>
        <w:t xml:space="preserve">), tiempo de recuperación (desde el fin del fallo hasta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oMath>
      <w:r>
        <w:rPr/>
        <w:t xml:space="preserve"> </w:t>
      </w:r>
      <w:r>
        <w:rPr>
          <w:rStyle w:val="VerbatimChar"/>
        </w:rPr>
        <w:t>recovery_fraction</w:t>
      </w:r>
      <w:r>
        <w:rPr/>
        <w:t>·media nominal), varianza de la confianza y razón de reducción (media degradada / media nominal). Para pesos: peso medio nominal y global, peso mínimo, porcentaje del peso total asignado durante el fallo, tiempo de reducción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&lt;</m:t>
        </m:r>
      </m:oMath>
      <w:r>
        <w:rPr/>
        <w:t xml:space="preserve"> </w:t>
      </w:r>
      <w:r>
        <w:rPr>
          <w:rStyle w:val="VerbatimChar"/>
        </w:rPr>
        <w:t>weight_fraction</w:t>
      </w:r>
      <w:r>
        <w:rPr/>
        <w:t>·nominal) y tiempo de recuperación.</w:t>
      </w:r>
      <w:bookmarkEnd w:id="123"/>
    </w:p>
    <w:p>
      <w:pPr>
        <w:pStyle w:val="Heading2"/>
        <w:rPr/>
      </w:pPr>
      <w:bookmarkStart w:id="124" w:name="__RefHeading___Toc11110_1564873447"/>
      <w:bookmarkStart w:id="125" w:name="robustez"/>
      <w:bookmarkEnd w:id="124"/>
      <w:r>
        <w:rPr/>
        <w:t>18.5 Robustez</w:t>
      </w:r>
    </w:p>
    <w:p>
      <w:pPr>
        <w:pStyle w:val="FirstParagraph"/>
        <w:rPr/>
      </w:pPr>
      <w:r>
        <w:rPr/>
        <w:t xml:space="preserve">Criterios explícitos: </w:t>
      </w:r>
      <w:r>
        <w:rPr>
          <w:b/>
          <w:bCs/>
        </w:rPr>
        <w:t>divergencia</w:t>
      </w:r>
      <w:r>
        <w:rPr/>
        <w:t xml:space="preserve"> si la estimación no es finita o </w:t>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supera </w:t>
      </w:r>
      <w:r>
        <w:rPr>
          <w:rStyle w:val="VerbatimChar"/>
        </w:rPr>
        <w:t>divergence_threshold</w:t>
      </w:r>
      <w:r>
        <w:rPr/>
        <w:t xml:space="preserve"> (por defecto 1000 veces la mayor desviación nominal); </w:t>
      </w:r>
      <w:r>
        <w:rPr>
          <w:b/>
          <w:bCs/>
        </w:rPr>
        <w:t>éxito</w:t>
      </w:r>
      <w:r>
        <w:rPr/>
        <w:t xml:space="preserve"> si no diverge y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oMath>
      <w:r>
        <w:rPr/>
        <w:t xml:space="preserve">; </w:t>
      </w:r>
      <w:r>
        <w:rPr>
          <w:b/>
          <w:bCs/>
        </w:rPr>
        <w:t>pérdida de desempeño</w:t>
      </w:r>
      <w:r>
        <w:rPr/>
        <w:t xml:space="preserve">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f>
          <m:fPr>
            <m:type m:val="lin"/>
          </m:fPr>
          <m:num>
            <m:r>
              <w:rPr>
                <w:rFonts w:ascii="Cambria Math" w:hAnsi="Cambria Math"/>
              </w:rPr>
              <m:t xml:space="preserve">E</m:t>
            </m:r>
          </m:num>
          <m:den>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n</m:t>
                </m:r>
                <m:r>
                  <w:rPr>
                    <w:rFonts w:ascii="Cambria Math" w:hAnsi="Cambria Math"/>
                  </w:rPr>
                  <m:t xml:space="preserve">o</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sub>
            </m:sSub>
          </m:den>
        </m:f>
        <m:r>
          <w:rPr>
            <w:rFonts w:ascii="Cambria Math" w:hAnsi="Cambria Math"/>
          </w:rPr>
          <m:t xml:space="preserve">−</m:t>
        </m:r>
        <m:r>
          <w:rPr>
            <w:rFonts w:ascii="Cambria Math" w:hAnsi="Cambria Math"/>
          </w:rPr>
          <m:t xml:space="preserve">1</m:t>
        </m:r>
      </m:oMath>
      <w:r>
        <w:rPr/>
        <w:t xml:space="preserve">, con </w:t>
      </w:r>
      <w:r>
        <w:rPr/>
      </w:r>
      <m:oMath xmlns:m="http://schemas.openxmlformats.org/officeDocument/2006/math">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n</m:t>
            </m:r>
            <m:r>
              <w:rPr>
                <w:rFonts w:ascii="Cambria Math" w:hAnsi="Cambria Math"/>
              </w:rPr>
              <m:t xml:space="preserve">o</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sub>
        </m:sSub>
      </m:oMath>
      <w:r>
        <w:rPr/>
        <w:t xml:space="preserve"> del mismo método sobre el gemelo nominal; </w:t>
      </w:r>
      <w:r>
        <w:rPr>
          <w:b/>
          <w:bCs/>
        </w:rPr>
        <w:t>calidad de recuperación</w:t>
      </w:r>
      <w:r>
        <w:rPr/>
        <w:t xml:space="preserve"> </w:t>
      </w:r>
      <w:r>
        <w:rPr/>
      </w:r>
      <m:oMath xmlns:m="http://schemas.openxmlformats.org/officeDocument/2006/math">
        <m:f>
          <m:fPr>
            <m:type m:val="lin"/>
          </m:fPr>
          <m:num>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sub>
            </m:sSub>
          </m:num>
          <m:den>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p</m:t>
                </m:r>
                <m:r>
                  <w:rPr>
                    <w:rFonts w:ascii="Cambria Math" w:hAnsi="Cambria Math"/>
                  </w:rPr>
                  <m:t xml:space="preserve">r</m:t>
                </m:r>
                <m:r>
                  <w:rPr>
                    <w:rFonts w:ascii="Cambria Math" w:hAnsi="Cambria Math"/>
                  </w:rPr>
                  <m:t xml:space="preserve">e</m:t>
                </m:r>
              </m:sub>
            </m:sSub>
          </m:den>
        </m:f>
      </m:oMath>
      <w:r>
        <w:rPr/>
        <w:t>. En Monte Carlo se reportan tasas de éxito y de divergencia.</w:t>
      </w:r>
      <w:bookmarkEnd w:id="125"/>
    </w:p>
    <w:p>
      <w:pPr>
        <w:pStyle w:val="Heading2"/>
        <w:rPr/>
      </w:pPr>
      <w:bookmarkStart w:id="126" w:name="__RefHeading___Toc11112_1564873447"/>
      <w:bookmarkStart w:id="127" w:name="estadística"/>
      <w:bookmarkEnd w:id="126"/>
      <w:r>
        <w:rPr/>
        <w:t>18.6 Estadística</w:t>
      </w:r>
    </w:p>
    <w:p>
      <w:pPr>
        <w:pStyle w:val="FirstParagraph"/>
        <w:rPr/>
      </w:pPr>
      <w:r>
        <w:rPr/>
        <w:t>Para múltiples corridas (</w:t>
      </w:r>
      <w:r>
        <w:rPr>
          <w:rStyle w:val="VerbatimChar"/>
        </w:rPr>
        <w:t>statistics/</w:t>
      </w:r>
      <w:r>
        <w:rPr/>
        <w:t xml:space="preserve">): media, mediana, desviación estándar, mínimo, máximo, percentiles 5/25/75/95 e intervalo de confianza de la media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α</m:t>
                </m:r>
              </m:num>
              <m:den>
                <m:r>
                  <w:rPr>
                    <w:rFonts w:ascii="Cambria Math" w:hAnsi="Cambria Math"/>
                  </w:rPr>
                  <m:t xml:space="preserve">2</m:t>
                </m:r>
              </m:den>
            </m:f>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sub>
        </m:sSub>
        <m:f>
          <m:fPr>
            <m:type m:val="lin"/>
          </m:fPr>
          <m:num>
            <m:r>
              <w:rPr>
                <w:rFonts w:ascii="Cambria Math" w:hAnsi="Cambria Math"/>
              </w:rPr>
              <m:t xml:space="preserve">s</m:t>
            </m:r>
          </m:num>
          <m:den>
            <m:rad>
              <m:radPr>
                <m:degHide m:val="1"/>
              </m:radPr>
              <m:deg/>
              <m:e>
                <m:r>
                  <w:rPr>
                    <w:rFonts w:ascii="Cambria Math" w:hAnsi="Cambria Math"/>
                  </w:rPr>
                  <m:t xml:space="preserve">n</m:t>
                </m:r>
              </m:e>
            </m:rad>
          </m:den>
        </m:f>
      </m:oMath>
      <w:r>
        <w:rPr/>
        <w:t xml:space="preserve">. Las comparaciones entre métodos son </w:t>
      </w:r>
      <w:r>
        <w:rPr>
          <w:b/>
          <w:bCs/>
        </w:rPr>
        <w:t>pareadas</w:t>
      </w:r>
      <w:r>
        <w:rPr/>
        <w:t xml:space="preserve"> (mismos escenarios): diferencia media y mediana, fracción de corridas ganadas, prueba de rangos con signo de Wilcoxon, corrección de Holm–Bonferroni para comparaciones múltiples e intervalo bootstrap de la diferencia media; además, distribuciones (diagramas de caja, FDA empírica, histogramas).</w:t>
      </w:r>
      <w:bookmarkEnd w:id="115"/>
      <w:bookmarkEnd w:id="127"/>
    </w:p>
    <w:p>
      <w:pPr>
        <w:pStyle w:val="Heading1"/>
        <w:rPr/>
      </w:pPr>
      <w:bookmarkStart w:id="128" w:name="__RefHeading___Toc11114_1564873447"/>
      <w:bookmarkStart w:id="129" w:name="arquitectura"/>
      <w:bookmarkEnd w:id="128"/>
      <w:r>
        <w:rPr/>
        <w:t>19. Arquitectura</w:t>
      </w:r>
    </w:p>
    <w:p>
      <w:pPr>
        <w:pStyle w:val="Heading2"/>
        <w:rPr/>
      </w:pPr>
      <w:bookmarkStart w:id="130" w:name="__RefHeading___Toc11116_1564873447"/>
      <w:bookmarkStart w:id="131" w:name="arquitectura-científica"/>
      <w:bookmarkEnd w:id="130"/>
      <w:r>
        <w:rPr/>
        <w:t>19.1 Arquitectura científica</w:t>
      </w:r>
    </w:p>
    <w:p>
      <w:pPr>
        <w:pStyle w:val="SourceCode"/>
        <w:rPr/>
      </w:pPr>
      <w:r>
        <w:rPr>
          <w:rStyle w:val="VerbatimChar"/>
        </w:rPr>
        <w:t>Ground Truth Simulator -&gt; Virtual Sensor Generator -&gt; Noise / Uncertainty / Degradation Engine</w:t>
      </w:r>
      <w:r>
        <w:rPr/>
        <w:br/>
      </w:r>
      <w:r>
        <w:rPr>
          <w:rStyle w:val="VerbatimChar"/>
        </w:rPr>
        <w:t xml:space="preserve">  -&gt; Multisensor Measurements (Scenario Dataset) -&gt; Fusion / Estimation Algorithms</w:t>
      </w:r>
      <w:r>
        <w:rPr/>
        <w:br/>
      </w:r>
      <w:r>
        <w:rPr>
          <w:rStyle w:val="VerbatimChar"/>
        </w:rPr>
        <w:t xml:space="preserve">  -&gt; Sensor Trust Estimation -&gt; State Estimate -&gt; Scientific Metrics</w:t>
      </w:r>
      <w:r>
        <w:rPr/>
        <w:br/>
      </w:r>
      <w:r>
        <w:rPr>
          <w:rStyle w:val="VerbatimChar"/>
        </w:rPr>
        <w:t xml:space="preserve">  -&gt; Statistical Analysis -&gt; Reproducible Results</w:t>
      </w:r>
      <w:bookmarkEnd w:id="131"/>
    </w:p>
    <w:p>
      <w:pPr>
        <w:pStyle w:val="Heading2"/>
        <w:rPr/>
      </w:pPr>
      <w:bookmarkStart w:id="132" w:name="__RefHeading___Toc11118_1564873447"/>
      <w:bookmarkStart w:id="133" w:name="capas"/>
      <w:bookmarkEnd w:id="132"/>
      <w:r>
        <w:rPr/>
        <w:t>19.2 Capas</w:t>
      </w:r>
    </w:p>
    <w:p>
      <w:pPr>
        <w:pStyle w:val="FirstParagraph"/>
        <w:rPr/>
      </w:pPr>
      <w:r>
        <w:rPr/>
        <w:t>La lógica científica está completamente separada de la interfaz gráfica. La GUI solo edita la configuración y llama al motor (</w:t>
      </w:r>
      <w:r>
        <w:rPr>
          <w:rStyle w:val="VerbatimChar"/>
        </w:rPr>
        <w:t>ExperimentManager(results).run(config)</w:t>
      </w:r>
      <w:r>
        <w:rPr/>
        <w:t xml:space="preserve">, </w:t>
      </w:r>
      <w:r>
        <w:rPr>
          <w:rStyle w:val="VerbatimChar"/>
        </w:rPr>
        <w:t>run_montecarlo</w:t>
      </w:r>
      <w:r>
        <w:rPr/>
        <w:t xml:space="preserve">, </w:t>
      </w:r>
      <w:r>
        <w:rPr>
          <w:rStyle w:val="VerbatimChar"/>
        </w:rPr>
        <w:t>run_robustness</w:t>
      </w:r>
      <w:r>
        <w:rPr/>
        <w:t xml:space="preserve">, </w:t>
      </w:r>
      <w:r>
        <w:rPr>
          <w:rStyle w:val="VerbatimChar"/>
        </w:rPr>
        <w:t>run_sensitivity</w:t>
      </w:r>
      <w:r>
        <w:rPr/>
        <w:t xml:space="preserve">, </w:t>
      </w:r>
      <w:r>
        <w:rPr>
          <w:rStyle w:val="VerbatimChar"/>
        </w:rPr>
        <w:t>run_sweep</w:t>
      </w:r>
      <w:r>
        <w:rPr/>
        <w:t>) en un hilo de trabajo (</w:t>
      </w:r>
      <w:r>
        <w:rPr>
          <w:rStyle w:val="VerbatimChar"/>
        </w:rPr>
        <w:t>QThread</w:t>
      </w:r>
      <w:r>
        <w:rPr/>
        <w:t>); el mismo motor se usa desde Python y desde la línea de comandos.</w:t>
      </w:r>
      <w:bookmarkEnd w:id="133"/>
    </w:p>
    <w:p>
      <w:pPr>
        <w:pStyle w:val="Heading2"/>
        <w:rPr/>
      </w:pPr>
      <w:bookmarkStart w:id="134" w:name="__RefHeading___Toc11120_1564873447"/>
      <w:bookmarkStart w:id="135" w:name="idiomas-mensajes-y-manejo-de-errores"/>
      <w:bookmarkEnd w:id="134"/>
      <w:r>
        <w:rPr/>
        <w:t>19.3 Idiomas, mensajes y manejo de errores</w:t>
      </w:r>
    </w:p>
    <w:p>
      <w:pPr>
        <w:pStyle w:val="FirstParagraph"/>
        <w:rPr/>
      </w:pPr>
      <w:r>
        <w:rPr/>
        <w:t>El motor usa identificadores y mensajes en inglés (también en la línea de comandos y en los archivos de resultados). La interfaz presenta todo en el idioma elegido:</w:t>
      </w:r>
    </w:p>
    <w:p>
      <w:pPr>
        <w:pStyle w:val="Compact"/>
        <w:numPr>
          <w:ilvl w:val="0"/>
          <w:numId w:val="2"/>
        </w:numPr>
        <w:rPr/>
      </w:pPr>
      <w:r>
        <w:rPr/>
        <w:t xml:space="preserve">Los textos de la interfaz se traducen con </w:t>
      </w:r>
      <w:r>
        <w:rPr>
          <w:rStyle w:val="VerbatimChar"/>
        </w:rPr>
        <w:t>i18n.tr</w:t>
      </w:r>
      <w:r>
        <w:rPr/>
        <w:t>.</w:t>
      </w:r>
    </w:p>
    <w:p>
      <w:pPr>
        <w:pStyle w:val="Compact"/>
        <w:numPr>
          <w:ilvl w:val="0"/>
          <w:numId w:val="2"/>
        </w:numPr>
        <w:rPr/>
      </w:pPr>
      <w:r>
        <w:rPr/>
        <w:t xml:space="preserve">Los nombres de métricas, estados, parámetros, degradaciones y opciones se obtienen de </w:t>
      </w:r>
      <w:r>
        <w:rPr>
          <w:rStyle w:val="VerbatimChar"/>
        </w:rPr>
        <w:t>labels.py</w:t>
      </w:r>
      <w:r>
        <w:rPr/>
        <w:t>.</w:t>
      </w:r>
    </w:p>
    <w:p>
      <w:pPr>
        <w:pStyle w:val="Compact"/>
        <w:numPr>
          <w:ilvl w:val="0"/>
          <w:numId w:val="2"/>
        </w:numPr>
        <w:rPr/>
      </w:pPr>
      <w:r>
        <w:rPr/>
        <w:t xml:space="preserve">Los mensajes de error del motor se traducen con </w:t>
      </w:r>
      <w:r>
        <w:rPr>
          <w:rStyle w:val="VerbatimChar"/>
        </w:rPr>
        <w:t>i18n_errors.translate_error</w:t>
      </w:r>
      <w:r>
        <w:rPr/>
        <w:t>. Esta función reconoce cada plantilla de mensaje y conserva sus partes variables (nombres de sensores, valores, límites).</w:t>
      </w:r>
    </w:p>
    <w:p>
      <w:pPr>
        <w:pStyle w:val="Compact"/>
        <w:numPr>
          <w:ilvl w:val="0"/>
          <w:numId w:val="2"/>
        </w:numPr>
        <w:rPr/>
      </w:pPr>
      <w:r>
        <w:rPr/>
        <w:t>Los errores de sintaxis de archivos YAML/JSON se informan por línea y columna, y los errores del sistema de archivos con una descripción en el idioma de la interfaz.</w:t>
      </w:r>
    </w:p>
    <w:p>
      <w:pPr>
        <w:pStyle w:val="FirstParagraph"/>
        <w:rPr/>
      </w:pPr>
      <w:r>
        <w:rPr/>
        <w:t>Se verificó que:</w:t>
      </w:r>
    </w:p>
    <w:p>
      <w:pPr>
        <w:pStyle w:val="Compact"/>
        <w:numPr>
          <w:ilvl w:val="0"/>
          <w:numId w:val="10"/>
        </w:numPr>
        <w:rPr/>
      </w:pPr>
      <w:r>
        <w:rPr/>
        <w:t>todo mensaje de error del motor y todo texto de la interfaz tengan traducción;</w:t>
      </w:r>
    </w:p>
    <w:p>
      <w:pPr>
        <w:pStyle w:val="Compact"/>
        <w:numPr>
          <w:ilvl w:val="0"/>
          <w:numId w:val="11"/>
        </w:numPr>
        <w:rPr/>
      </w:pPr>
      <w:r>
        <w:rPr/>
        <w:t>todos los parámetros tengan ayuda bilingüe;</w:t>
      </w:r>
    </w:p>
    <w:p>
      <w:pPr>
        <w:pStyle w:val="Compact"/>
        <w:numPr>
          <w:ilvl w:val="0"/>
          <w:numId w:val="12"/>
        </w:numPr>
        <w:rPr/>
      </w:pPr>
      <w:r>
        <w:rPr/>
        <w:t>todos los controles visibles tengan una explicación emergente.</w:t>
      </w:r>
    </w:p>
    <w:p>
      <w:pPr>
        <w:pStyle w:val="FirstParagraph"/>
        <w:rPr/>
      </w:pPr>
      <w:r>
        <w:rPr/>
        <w:t>La aplicación no se cierra ante errores:</w:t>
      </w:r>
    </w:p>
    <w:p>
      <w:pPr>
        <w:pStyle w:val="Compact"/>
        <w:numPr>
          <w:ilvl w:val="0"/>
          <w:numId w:val="13"/>
        </w:numPr>
        <w:rPr/>
      </w:pPr>
      <w:r>
        <w:rPr/>
        <w:t>la configuración se valida antes de ejecutar;</w:t>
      </w:r>
    </w:p>
    <w:p>
      <w:pPr>
        <w:pStyle w:val="Compact"/>
        <w:numPr>
          <w:ilvl w:val="0"/>
          <w:numId w:val="14"/>
        </w:numPr>
        <w:rPr/>
      </w:pPr>
      <w:r>
        <w:rPr/>
        <w:t>los cálculos se realizan en un hilo con captura de excepciones;</w:t>
      </w:r>
    </w:p>
    <w:p>
      <w:pPr>
        <w:pStyle w:val="Compact"/>
        <w:numPr>
          <w:ilvl w:val="0"/>
          <w:numId w:val="15"/>
        </w:numPr>
        <w:rPr/>
      </w:pPr>
      <w:r>
        <w:rPr/>
        <w:t>una excepción inesperada se registra y se informa en un aviso;</w:t>
      </w:r>
    </w:p>
    <w:p>
      <w:pPr>
        <w:pStyle w:val="Compact"/>
        <w:numPr>
          <w:ilvl w:val="0"/>
          <w:numId w:val="16"/>
        </w:numPr>
        <w:rPr/>
      </w:pPr>
      <w:r>
        <w:rPr/>
        <w:t>antes de cada ejecución se comprueba que la carpeta de resultados pueda escribirse;</w:t>
      </w:r>
    </w:p>
    <w:p>
      <w:pPr>
        <w:pStyle w:val="Compact"/>
        <w:numPr>
          <w:ilvl w:val="0"/>
          <w:numId w:val="17"/>
        </w:numPr>
        <w:rPr/>
      </w:pPr>
      <w:r>
        <w:rPr/>
        <w:t>al cerrar la ventana durante un cálculo, el programa pide confirmación y detiene el cálculo de forma ordenada.</w:t>
      </w:r>
    </w:p>
    <w:p>
      <w:pPr>
        <w:pStyle w:val="FirstParagraph"/>
        <w:rPr/>
      </w:pPr>
      <w:bookmarkStart w:id="136" w:name="idiomas-mensajes-y-manejo-de-errores"/>
      <w:r>
        <w:rPr/>
        <w:t>La línea de comandos responde con un mensaje de error y código de salida 2 ante entradas no válidas, sin mostrar trazas internas.</w:t>
      </w:r>
      <w:bookmarkEnd w:id="136"/>
    </w:p>
    <w:p>
      <w:pPr>
        <w:pStyle w:val="Heading2"/>
        <w:rPr/>
      </w:pPr>
      <w:bookmarkStart w:id="137" w:name="__RefHeading___Toc11122_1564873447"/>
      <w:bookmarkStart w:id="138" w:name="api-interna"/>
      <w:bookmarkEnd w:id="137"/>
      <w:r>
        <w:rPr/>
        <w:t>19.4 API interna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06"/>
        <w:gridCol w:w="3353"/>
        <w:gridCol w:w="3473"/>
      </w:tblGrid>
      <w:tr>
        <w:trPr>
          <w:tblHeader w:val="true"/>
        </w:trPr>
        <w:tc>
          <w:tcPr>
            <w:tcW w:w="280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Interfaz</w:t>
            </w:r>
          </w:p>
        </w:tc>
        <w:tc>
          <w:tcPr>
            <w:tcW w:w="335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Responsabilidad</w:t>
            </w:r>
          </w:p>
        </w:tc>
        <w:tc>
          <w:tcPr>
            <w:tcW w:w="347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Ubicación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DynamicModel</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f</m:t>
              </m:r>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F</m:t>
              </m:r>
            </m:oMath>
            <w:r>
              <w:rPr>
                <w:rFonts w:eastAsia="" w:cs=""/>
                <w:kern w:val="0"/>
                <w:sz w:val="17"/>
                <w:szCs w:val="24"/>
                <w:lang w:val="en-US" w:eastAsia="zh-CN" w:bidi="ar-SA"/>
              </w:rPr>
              <w:t xml:space="preserve">, </w:t>
            </w:r>
            <w:r>
              <w:rPr>
                <w:rFonts w:eastAsia="" w:cs=""/>
                <w:kern w:val="0"/>
                <w:szCs w:val="24"/>
                <w:lang w:val="en-US" w:eastAsia="zh-CN" w:bidi="ar-SA"/>
              </w:rPr>
            </w:r>
            <m:oMath xmlns:m="http://schemas.openxmlformats.org/officeDocument/2006/math">
              <m:r>
                <w:rPr>
                  <w:rFonts w:ascii="Cambria Math" w:hAnsi="Cambria Math"/>
                </w:rPr>
                <m:t xml:space="preserve">Q</m:t>
              </m:r>
            </m:oMath>
            <w:r>
              <w:rPr>
                <w:rFonts w:eastAsia="" w:cs=""/>
                <w:kern w:val="0"/>
                <w:sz w:val="17"/>
                <w:szCs w:val="24"/>
                <w:lang w:val="en-US" w:eastAsia="zh-CN" w:bidi="ar-SA"/>
              </w:rPr>
              <w:t>, entradas, estados</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models/base.py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VirtualSensor</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SensorSpec</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cadena de medición / especificación nominal</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sensors/sensor.py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NoiseModel</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realización y varianza del ruido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sensors/noise.py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Degradation</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Profile</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efecto y perfil temporal</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degradation/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GaussianFilter</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EKF, UKF</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estimators/filters.py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TrustEstimator</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Detector</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confianza / detección</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FusionMethod</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MethodResult</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algoritmo de fusión / resultado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fusion/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ExperimentManager</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ExperimentResult</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experimento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experiments/manager.py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evaluate</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flatten</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métricas</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metrics/evaluate.py</w:t>
            </w:r>
          </w:p>
        </w:tc>
      </w:tr>
    </w:tbl>
    <w:p>
      <w:pPr>
        <w:pStyle w:val="BodyText"/>
        <w:rPr/>
      </w:pPr>
      <w:r>
        <w:rPr/>
        <w:t xml:space="preserve">Los registros </w:t>
      </w:r>
      <w:r>
        <w:rPr>
          <w:rStyle w:val="VerbatimChar"/>
        </w:rPr>
        <w:t>MODEL_REGISTRY</w:t>
      </w:r>
      <w:r>
        <w:rPr/>
        <w:t xml:space="preserve">, </w:t>
      </w:r>
      <w:r>
        <w:rPr>
          <w:rStyle w:val="VerbatimChar"/>
        </w:rPr>
        <w:t>NOISE_REGISTRY</w:t>
      </w:r>
      <w:r>
        <w:rPr/>
        <w:t xml:space="preserve">, </w:t>
      </w:r>
      <w:r>
        <w:rPr>
          <w:rStyle w:val="VerbatimChar"/>
        </w:rPr>
        <w:t>DEGRADATION_REGISTRY</w:t>
      </w:r>
      <w:r>
        <w:rPr/>
        <w:t xml:space="preserve">, </w:t>
      </w:r>
      <w:r>
        <w:rPr>
          <w:rStyle w:val="VerbatimChar"/>
        </w:rPr>
        <w:t>TRUST_REGISTRY</w:t>
      </w:r>
      <w:r>
        <w:rPr/>
        <w:t xml:space="preserve"> y </w:t>
      </w:r>
      <w:r>
        <w:rPr>
          <w:rStyle w:val="VerbatimChar"/>
        </w:rPr>
        <w:t>METHOD_PRESETS</w:t>
      </w:r>
      <w:r>
        <w:rPr/>
        <w:t xml:space="preserve"> permiten incorporar nuevos componentes sin modificar los existentes.</w:t>
      </w:r>
      <w:bookmarkEnd w:id="129"/>
      <w:bookmarkEnd w:id="138"/>
    </w:p>
    <w:p>
      <w:pPr>
        <w:pStyle w:val="Heading1"/>
        <w:rPr/>
      </w:pPr>
      <w:bookmarkStart w:id="139" w:name="__RefHeading___Toc11124_1564873447"/>
      <w:bookmarkEnd w:id="139"/>
      <w:r>
        <w:rPr/>
        <w:t>20. Módulos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400"/>
        <w:gridCol w:w="5231"/>
      </w:tblGrid>
      <w:tr>
        <w:trPr>
          <w:tblHeader w:val="true"/>
        </w:trPr>
        <w:tc>
          <w:tcPr>
            <w:tcW w:w="440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Paquete</w:t>
            </w:r>
          </w:p>
        </w:tc>
        <w:tc>
          <w:tcPr>
            <w:tcW w:w="523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Contenido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models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interfaz, seis modelos predefinidos, modelo lineal personalizado, discretización</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simulation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generador del valor verdadero, conjunto de datos de escenario, </w:t>
            </w:r>
            <w:r>
              <w:rPr>
                <w:rStyle w:val="VerbatimChar"/>
                <w:rFonts w:eastAsia="" w:cs=""/>
                <w:kern w:val="0"/>
                <w:sz w:val="17"/>
                <w:szCs w:val="24"/>
                <w:lang w:val="en-US" w:eastAsia="zh-CN" w:bidi="ar-SA"/>
              </w:rPr>
              <w:t>MeasurementSet</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sensores virtuales y ocho modelos de ruido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degradation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quince degradaciones, ocho perfiles, recuperación</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estimators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EKF, UKF</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momentos de la innovación, estimadores de confianza, detectores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fusion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métodos estáticos, fusión centralizada (casos A–D), fusión a nivel de estimaciones, registro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metrics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estimación, consistencia, detección, confianza, pesos, robustez</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statistics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estadística descriptiva y pruebas pareadas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experiments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configuración, gestor, benchmarks, Monte Carlo, diseño, barridos, robustez, sensibilidad</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visualization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estilo y figuras científicas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io</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exportación/importación de conjuntos de datos, directorios de resultados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gui</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interfaz PySide6 bilingüe (sin lógica científica): pestañas, formularios generados desde esquemas de parámetros, ayudas (</w:t>
            </w:r>
            <w:r>
              <w:rPr>
                <w:rStyle w:val="VerbatimChar"/>
                <w:rFonts w:eastAsia="" w:cs=""/>
                <w:kern w:val="0"/>
                <w:sz w:val="17"/>
                <w:szCs w:val="24"/>
                <w:lang w:val="en-US" w:eastAsia="zh-CN" w:bidi="ar-SA"/>
              </w:rPr>
              <w:t>tooltips.py</w:t>
            </w:r>
            <w:r>
              <w:rPr>
                <w:rFonts w:eastAsia="" w:cs=""/>
                <w:kern w:val="0"/>
                <w:sz w:val="17"/>
                <w:szCs w:val="24"/>
                <w:lang w:val="en-US" w:eastAsia="zh-CN" w:bidi="ar-SA"/>
              </w:rPr>
              <w:t>)</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utils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errores, semillas, registro de eventos, álgebra lineal, rutas de parámetros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cli</w:t>
            </w:r>
            <w:r>
              <w:rPr>
                <w:rFonts w:eastAsia="" w:cs=""/>
                <w:kern w:val="0"/>
                <w:sz w:val="17"/>
                <w:szCs w:val="24"/>
                <w:lang w:val="en-US" w:eastAsia="zh-CN" w:bidi="ar-SA"/>
              </w:rPr>
              <w:t xml:space="preserve">, </w:t>
            </w:r>
            <w:r>
              <w:rPr>
                <w:rStyle w:val="VerbatimChar"/>
                <w:rFonts w:eastAsia="" w:cs=""/>
                <w:kern w:val="0"/>
                <w:sz w:val="17"/>
                <w:szCs w:val="24"/>
                <w:lang w:val="en-US" w:eastAsia="zh-CN" w:bidi="ar-SA"/>
              </w:rPr>
              <w:t>i18n</w:t>
            </w:r>
            <w:r>
              <w:rPr>
                <w:rFonts w:eastAsia="" w:cs=""/>
                <w:kern w:val="0"/>
                <w:sz w:val="17"/>
                <w:szCs w:val="24"/>
                <w:lang w:val="en-US" w:eastAsia="zh-CN" w:bidi="ar-SA"/>
              </w:rPr>
              <w:t xml:space="preserve">, </w:t>
            </w:r>
            <w:r>
              <w:rPr>
                <w:rStyle w:val="VerbatimChar"/>
                <w:rFonts w:eastAsia="" w:cs=""/>
                <w:kern w:val="0"/>
                <w:sz w:val="17"/>
                <w:szCs w:val="24"/>
                <w:lang w:val="en-US" w:eastAsia="zh-CN" w:bidi="ar-SA"/>
              </w:rPr>
              <w:t>i18n_errors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labels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version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línea de comandos, textos bilingües, traducción de los mensajes de error del motor, nombres legibles de métricas, estados, parámetros y opciones, versión</w:t>
            </w:r>
            <w:bookmarkStart w:id="140" w:name="módulos"/>
            <w:bookmarkEnd w:id="140"/>
          </w:p>
        </w:tc>
      </w:tr>
    </w:tbl>
    <w:p>
      <w:pPr>
        <w:pStyle w:val="Heading1"/>
        <w:rPr/>
      </w:pPr>
      <w:bookmarkStart w:id="141" w:name="__RefHeading___Toc11126_1564873447"/>
      <w:bookmarkEnd w:id="141"/>
      <w:r>
        <w:rPr/>
        <w:t>21. Flujo de datos</w:t>
      </w:r>
    </w:p>
    <w:p>
      <w:pPr>
        <w:pStyle w:val="Compact"/>
        <w:numPr>
          <w:ilvl w:val="0"/>
          <w:numId w:val="18"/>
        </w:numPr>
        <w:rPr/>
      </w:pPr>
      <w:r>
        <w:rPr>
          <w:b/>
          <w:bCs/>
        </w:rPr>
        <w:t>Configuración</w:t>
      </w:r>
      <w:r>
        <w:rPr/>
        <w:t xml:space="preserve"> (YAML/JSON o GUI) → </w:t>
      </w:r>
      <w:r>
        <w:rPr>
          <w:rStyle w:val="VerbatimChar"/>
        </w:rPr>
        <w:t>normalize_config</w:t>
      </w:r>
      <w:r>
        <w:rPr/>
        <w:t xml:space="preserve"> valida tipos, rangos, dimensiones, covarianzas, nombres únicos, métodos y que los instantes de fallo estén dentro del horizonte.</w:t>
      </w:r>
    </w:p>
    <w:p>
      <w:pPr>
        <w:pStyle w:val="Compact"/>
        <w:numPr>
          <w:ilvl w:val="0"/>
          <w:numId w:val="19"/>
        </w:numPr>
        <w:rPr/>
      </w:pPr>
      <w:r>
        <w:rPr>
          <w:b/>
          <w:bCs/>
        </w:rPr>
        <w:t>Escenario:</w:t>
      </w:r>
      <w:r>
        <w:rPr/>
        <w:t xml:space="preserve"> modelo → valor verdadero → sensores (ruido, degradación, disponibilidad) → </w:t>
      </w:r>
      <w:r>
        <w:rPr>
          <w:rStyle w:val="VerbatimChar"/>
        </w:rPr>
        <w:t>Scenario</w:t>
      </w:r>
      <w:r>
        <w:rPr/>
        <w:t xml:space="preserve"> con huella SHA-256.</w:t>
      </w:r>
    </w:p>
    <w:p>
      <w:pPr>
        <w:pStyle w:val="Compact"/>
        <w:numPr>
          <w:ilvl w:val="0"/>
          <w:numId w:val="20"/>
        </w:numPr>
        <w:rPr/>
      </w:pPr>
      <w:r>
        <w:rPr>
          <w:b/>
          <w:bCs/>
        </w:rPr>
        <w:t>Métodos:</w:t>
      </w:r>
      <w:r>
        <w:rPr/>
        <w:t xml:space="preserve"> cada método recibe </w:t>
      </w:r>
      <w:r>
        <w:rPr>
          <w:rStyle w:val="VerbatimChar"/>
        </w:rPr>
        <w:t>scenario.measurements()</w:t>
      </w:r>
      <w:r>
        <w:rPr/>
        <w:t xml:space="preserve"> (sin valor verdadero); los oráculos reciben además </w:t>
      </w:r>
      <w:r>
        <w:rPr>
          <w:rStyle w:val="VerbatimChar"/>
        </w:rPr>
        <w:t>OracleInfo</w:t>
      </w:r>
      <w:r>
        <w:rPr/>
        <w:t>.</w:t>
      </w:r>
    </w:p>
    <w:p>
      <w:pPr>
        <w:pStyle w:val="Compact"/>
        <w:numPr>
          <w:ilvl w:val="0"/>
          <w:numId w:val="21"/>
        </w:numPr>
        <w:rPr/>
      </w:pPr>
      <w:r>
        <w:rPr>
          <w:b/>
          <w:bCs/>
        </w:rPr>
        <w:t>Gemelo nominal</w:t>
      </w:r>
      <w:r>
        <w:rPr/>
        <w:t xml:space="preserve"> (opcional): mismo escenario sin degradaciones para la pérdida de desempeño.</w:t>
      </w:r>
    </w:p>
    <w:p>
      <w:pPr>
        <w:pStyle w:val="Compact"/>
        <w:numPr>
          <w:ilvl w:val="0"/>
          <w:numId w:val="22"/>
        </w:numPr>
        <w:rPr/>
      </w:pPr>
      <w:r>
        <w:rPr>
          <w:b/>
          <w:bCs/>
        </w:rPr>
        <w:t>Métricas</w:t>
      </w:r>
      <w:r>
        <w:rPr/>
        <w:t xml:space="preserve"> → tabla resumen y métricas completas.</w:t>
      </w:r>
    </w:p>
    <w:p>
      <w:pPr>
        <w:pStyle w:val="Compact"/>
        <w:numPr>
          <w:ilvl w:val="0"/>
          <w:numId w:val="23"/>
        </w:numPr>
        <w:rPr/>
      </w:pPr>
      <w:r>
        <w:rPr>
          <w:b/>
          <w:bCs/>
        </w:rPr>
        <w:t>Figuras</w:t>
      </w:r>
      <w:r>
        <w:rPr/>
        <w:t xml:space="preserve"> y </w:t>
      </w:r>
      <w:r>
        <w:rPr>
          <w:b/>
          <w:bCs/>
        </w:rPr>
        <w:t>almacenamiento</w:t>
      </w:r>
      <w:r>
        <w:rPr/>
        <w:t xml:space="preserve"> en un directorio con identificador ordenado y manifiesto.</w:t>
      </w:r>
    </w:p>
    <w:p>
      <w:pPr>
        <w:pStyle w:val="Heading1"/>
        <w:rPr/>
      </w:pPr>
      <w:bookmarkStart w:id="142" w:name="__RefHeading___Toc11128_1564873447"/>
      <w:bookmarkStart w:id="143" w:name="configuración"/>
      <w:bookmarkEnd w:id="142"/>
      <w:r>
        <w:rPr/>
        <w:t>22. Configuración</w:t>
      </w:r>
    </w:p>
    <w:p>
      <w:pPr>
        <w:pStyle w:val="FirstParagraph"/>
        <w:rPr/>
      </w:pPr>
      <w:r>
        <w:rPr/>
        <w:t xml:space="preserve">Estructura de un experimento (fragmento de </w:t>
      </w:r>
      <w:r>
        <w:rPr>
          <w:rStyle w:val="VerbatimChar"/>
        </w:rPr>
        <w:t>configs/abrupt_bias.yaml</w:t>
      </w:r>
      <w:r>
        <w:rPr/>
        <w:t>):</w:t>
      </w:r>
    </w:p>
    <w:p>
      <w:pPr>
        <w:pStyle w:val="SourceCode"/>
        <w:rPr/>
      </w:pPr>
      <w:r>
        <w:rPr>
          <w:rStyle w:val="FunctionTok"/>
        </w:rPr>
        <w:t>experiment</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ST-BENCH-02 - Abrupt bias</w:t>
      </w:r>
      <w:r>
        <w:rPr>
          <w:rStyle w:val="KeywordTok"/>
        </w:rPr>
        <w:t>,</w:t>
      </w:r>
      <w:r>
        <w:rPr>
          <w:rStyle w:val="AttributeTok"/>
        </w:rPr>
        <w:t xml:space="preserve"> </w:t>
      </w:r>
      <w:r>
        <w:rPr>
          <w:rStyle w:val="FunctionTok"/>
        </w:rPr>
        <w:t>seed</w:t>
      </w:r>
      <w:r>
        <w:rPr>
          <w:rStyle w:val="KeywordTok"/>
        </w:rPr>
        <w:t>:</w:t>
      </w:r>
      <w:r>
        <w:rPr>
          <w:rStyle w:val="AttributeTok"/>
        </w:rPr>
        <w:t xml:space="preserve"> </w:t>
      </w:r>
      <w:r>
        <w:rPr>
          <w:rStyle w:val="DecValTok"/>
        </w:rPr>
        <w:t>42</w:t>
      </w:r>
      <w:r>
        <w:rPr>
          <w:rStyle w:val="KeywordTok"/>
        </w:rPr>
        <w:t>}</w:t>
      </w:r>
      <w:r>
        <w:rPr/>
        <w:br/>
      </w:r>
      <w:r>
        <w:rPr>
          <w:rStyle w:val="FunctionTok"/>
        </w:rPr>
        <w:t>model</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constant_velocity</w:t>
      </w:r>
      <w:r>
        <w:rPr>
          <w:rStyle w:val="KeywordTok"/>
        </w:rPr>
        <w:t>,</w:t>
      </w:r>
      <w:r>
        <w:rPr>
          <w:rStyle w:val="AttributeTok"/>
        </w:rPr>
        <w:t xml:space="preserve"> </w:t>
      </w:r>
      <w:r>
        <w:rPr>
          <w:rStyle w:val="FunctionTok"/>
        </w:rPr>
        <w:t>params</w:t>
      </w:r>
      <w:r>
        <w:rPr>
          <w:rStyle w:val="KeywordTok"/>
        </w:rPr>
        <w:t>:</w:t>
      </w:r>
      <w:r>
        <w:rPr>
          <w:rStyle w:val="AttributeTok"/>
        </w:rPr>
        <w:t xml:space="preserve"> </w:t>
      </w:r>
      <w:r>
        <w:rPr>
          <w:rStyle w:val="KeywordTok"/>
        </w:rPr>
        <w:t>{</w:t>
      </w:r>
      <w:r>
        <w:rPr>
          <w:rStyle w:val="FunctionTok"/>
        </w:rPr>
        <w:t>q</w:t>
      </w:r>
      <w:r>
        <w:rPr>
          <w:rStyle w:val="KeywordTok"/>
        </w:rPr>
        <w:t>:</w:t>
      </w:r>
      <w:r>
        <w:rPr>
          <w:rStyle w:val="AttributeTok"/>
        </w:rPr>
        <w:t xml:space="preserve"> </w:t>
      </w:r>
      <w:r>
        <w:rPr>
          <w:rStyle w:val="FloatTok"/>
        </w:rPr>
        <w:t>0.05</w:t>
      </w:r>
      <w:r>
        <w:rPr>
          <w:rStyle w:val="KeywordTok"/>
        </w:rPr>
        <w:t>},</w:t>
      </w:r>
      <w:r>
        <w:rPr>
          <w:rStyle w:val="AttributeTok"/>
        </w:rPr>
        <w:t xml:space="preserve"> </w:t>
      </w:r>
      <w:r>
        <w:rPr>
          <w:rStyle w:val="FunctionTok"/>
        </w:rPr>
        <w:t>x0</w:t>
      </w:r>
      <w:r>
        <w:rPr>
          <w:rStyle w:val="KeywordTok"/>
        </w:rPr>
        <w:t>:</w:t>
      </w:r>
      <w:r>
        <w:rPr>
          <w:rStyle w:val="AttributeTok"/>
        </w:rPr>
        <w:t xml:space="preserve"> </w:t>
      </w:r>
      <w:r>
        <w:rPr>
          <w:rStyle w:val="KeywordTok"/>
        </w:rPr>
        <w:t>[</w:t>
      </w:r>
      <w:r>
        <w:rPr>
          <w:rStyle w:val="FloatTok"/>
        </w:rPr>
        <w:t>0.0</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P0</w:t>
      </w:r>
      <w:r>
        <w:rPr>
          <w:rStyle w:val="KeywordTok"/>
        </w:rPr>
        <w:t>:</w:t>
      </w:r>
      <w:r>
        <w:rPr>
          <w:rStyle w:val="AttributeTok"/>
        </w:rPr>
        <w:t xml:space="preserve"> </w:t>
      </w:r>
      <w:r>
        <w:rPr>
          <w:rStyle w:val="KeywordTok"/>
        </w:rPr>
        <w:t>[</w:t>
      </w:r>
      <w:r>
        <w:rPr>
          <w:rStyle w:val="FloatTok"/>
        </w:rPr>
        <w:t>0.01</w:t>
      </w:r>
      <w:r>
        <w:rPr>
          <w:rStyle w:val="KeywordTok"/>
        </w:rPr>
        <w:t>,</w:t>
      </w:r>
      <w:r>
        <w:rPr>
          <w:rStyle w:val="AttributeTok"/>
        </w:rPr>
        <w:t xml:space="preserve"> </w:t>
      </w:r>
      <w:r>
        <w:rPr>
          <w:rStyle w:val="FloatTok"/>
        </w:rPr>
        <w:t>0.01</w:t>
      </w:r>
      <w:r>
        <w:rPr>
          <w:rStyle w:val="KeywordTok"/>
        </w:rPr>
        <w:t>]}</w:t>
      </w:r>
      <w:r>
        <w:rPr/>
        <w:br/>
      </w:r>
      <w:r>
        <w:rPr>
          <w:rStyle w:val="FunctionTok"/>
        </w:rPr>
        <w:t>simulation</w:t>
      </w:r>
      <w:r>
        <w:rPr>
          <w:rStyle w:val="KeywordTok"/>
        </w:rPr>
        <w:t>:</w:t>
      </w:r>
      <w:r>
        <w:rPr>
          <w:rStyle w:val="AttributeTok"/>
        </w:rPr>
        <w:t xml:space="preserve"> </w:t>
      </w:r>
      <w:r>
        <w:rPr>
          <w:rStyle w:val="KeywordTok"/>
        </w:rPr>
        <w:t>{</w:t>
      </w:r>
      <w:r>
        <w:rPr>
          <w:rStyle w:val="FunctionTok"/>
        </w:rPr>
        <w:t>duration</w:t>
      </w:r>
      <w:r>
        <w:rPr>
          <w:rStyle w:val="KeywordTok"/>
        </w:rPr>
        <w:t>:</w:t>
      </w:r>
      <w:r>
        <w:rPr>
          <w:rStyle w:val="AttributeTok"/>
        </w:rPr>
        <w:t xml:space="preserve"> </w:t>
      </w:r>
      <w:r>
        <w:rPr>
          <w:rStyle w:val="FloatTok"/>
        </w:rPr>
        <w:t>60.0</w:t>
      </w:r>
      <w:r>
        <w:rPr>
          <w:rStyle w:val="KeywordTok"/>
        </w:rPr>
        <w:t>,</w:t>
      </w:r>
      <w:r>
        <w:rPr>
          <w:rStyle w:val="AttributeTok"/>
        </w:rPr>
        <w:t xml:space="preserve"> </w:t>
      </w:r>
      <w:r>
        <w:rPr>
          <w:rStyle w:val="FunctionTok"/>
        </w:rPr>
        <w:t>fs</w:t>
      </w:r>
      <w:r>
        <w:rPr>
          <w:rStyle w:val="KeywordTok"/>
        </w:rPr>
        <w:t>:</w:t>
      </w:r>
      <w:r>
        <w:rPr>
          <w:rStyle w:val="AttributeTok"/>
        </w:rPr>
        <w:t xml:space="preserve"> </w:t>
      </w:r>
      <w:r>
        <w:rPr>
          <w:rStyle w:val="FloatTok"/>
        </w:rPr>
        <w:t>100.0</w:t>
      </w:r>
      <w:r>
        <w:rPr>
          <w:rStyle w:val="KeywordTok"/>
        </w:rPr>
        <w:t>}</w:t>
      </w:r>
      <w:r>
        <w:rPr/>
        <w:br/>
      </w:r>
      <w:r>
        <w:rPr>
          <w:rStyle w:val="FunctionTok"/>
        </w:rPr>
        <w:t>sensors</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S1</w:t>
      </w:r>
      <w:r>
        <w:rPr>
          <w:rStyle w:val="KeywordTok"/>
        </w:rPr>
        <w:t>,</w:t>
      </w:r>
      <w:r>
        <w:rPr>
          <w:rStyle w:val="AttributeTok"/>
        </w:rPr>
        <w:t xml:space="preserve"> </w:t>
      </w:r>
      <w:r>
        <w:rPr>
          <w:rStyle w:val="FunctionTok"/>
        </w:rPr>
        <w:t>measures</w:t>
      </w:r>
      <w:r>
        <w:rPr>
          <w:rStyle w:val="KeywordTok"/>
        </w:rPr>
        <w:t>:</w:t>
      </w:r>
      <w:r>
        <w:rPr>
          <w:rStyle w:val="AttributeTok"/>
        </w:rPr>
        <w:t xml:space="preserve"> position</w:t>
      </w:r>
      <w:r>
        <w:rPr>
          <w:rStyle w:val="KeywordTok"/>
        </w:rPr>
        <w:t>,</w:t>
      </w: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0.1</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S2</w:t>
      </w:r>
      <w:r>
        <w:rPr/>
        <w:br/>
      </w:r>
      <w:r>
        <w:rPr>
          <w:rStyle w:val="AttributeTok"/>
        </w:rPr>
        <w:t xml:space="preserve">    </w:t>
      </w:r>
      <w:r>
        <w:rPr>
          <w:rStyle w:val="FunctionTok"/>
        </w:rPr>
        <w:t>measures</w:t>
      </w:r>
      <w:r>
        <w:rPr>
          <w:rStyle w:val="KeywordTok"/>
        </w:rPr>
        <w:t>:</w:t>
      </w:r>
      <w:r>
        <w:rPr>
          <w:rStyle w:val="AttributeTok"/>
        </w:rPr>
        <w:t xml:space="preserve"> position</w:t>
      </w:r>
      <w:r>
        <w:rPr/>
        <w:br/>
      </w: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0.15</w:t>
      </w:r>
      <w:r>
        <w:rPr>
          <w:rStyle w:val="KeywordTok"/>
        </w:rPr>
        <w:t>}</w:t>
      </w:r>
      <w:r>
        <w:rPr/>
        <w:br/>
      </w:r>
      <w:r>
        <w:rPr>
          <w:rStyle w:val="AttributeTok"/>
        </w:rPr>
        <w:t xml:space="preserve">    </w:t>
      </w:r>
      <w:r>
        <w:rPr>
          <w:rStyle w:val="FunctionTok"/>
        </w:rPr>
        <w:t>degradations</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bias</w:t>
      </w:r>
      <w:r>
        <w:rPr>
          <w:rStyle w:val="KeywordTok"/>
        </w:rPr>
        <w:t>,</w:t>
      </w:r>
      <w:r>
        <w:rPr>
          <w:rStyle w:val="AttributeTok"/>
        </w:rPr>
        <w:t xml:space="preserve"> </w:t>
      </w:r>
      <w:r>
        <w:rPr>
          <w:rStyle w:val="FunctionTok"/>
        </w:rPr>
        <w:t>severity</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profile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step</w:t>
      </w:r>
      <w:r>
        <w:rPr>
          <w:rStyle w:val="KeywordTok"/>
        </w:rPr>
        <w:t>,</w:t>
      </w:r>
      <w:r>
        <w:rPr>
          <w:rStyle w:val="AttributeTok"/>
        </w:rPr>
        <w:t xml:space="preserve"> </w:t>
      </w:r>
      <w:r>
        <w:rPr>
          <w:rStyle w:val="FunctionTok"/>
        </w:rPr>
        <w:t>start</w:t>
      </w:r>
      <w:r>
        <w:rPr>
          <w:rStyle w:val="KeywordTok"/>
        </w:rPr>
        <w:t>:</w:t>
      </w:r>
      <w:r>
        <w:rPr>
          <w:rStyle w:val="AttributeTok"/>
        </w:rPr>
        <w:t xml:space="preserve"> </w:t>
      </w:r>
      <w:r>
        <w:rPr>
          <w:rStyle w:val="FloatTok"/>
        </w:rPr>
        <w:t>20.0</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S3</w:t>
      </w:r>
      <w:r>
        <w:rPr>
          <w:rStyle w:val="KeywordTok"/>
        </w:rPr>
        <w:t>,</w:t>
      </w:r>
      <w:r>
        <w:rPr>
          <w:rStyle w:val="AttributeTok"/>
        </w:rPr>
        <w:t xml:space="preserve"> </w:t>
      </w:r>
      <w:r>
        <w:rPr>
          <w:rStyle w:val="FunctionTok"/>
        </w:rPr>
        <w:t>measures</w:t>
      </w:r>
      <w:r>
        <w:rPr>
          <w:rStyle w:val="KeywordTok"/>
        </w:rPr>
        <w:t>:</w:t>
      </w:r>
      <w:r>
        <w:rPr>
          <w:rStyle w:val="AttributeTok"/>
        </w:rPr>
        <w:t xml:space="preserve"> position</w:t>
      </w:r>
      <w:r>
        <w:rPr>
          <w:rStyle w:val="KeywordTok"/>
        </w:rPr>
        <w:t>,</w:t>
      </w: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0.2</w:t>
      </w:r>
      <w:r>
        <w:rPr>
          <w:rStyle w:val="KeywordTok"/>
        </w:rPr>
        <w:t>}}</w:t>
      </w:r>
      <w:r>
        <w:rPr/>
        <w:br/>
      </w:r>
      <w:r>
        <w:rPr>
          <w:rStyle w:val="FunctionTok"/>
        </w:rPr>
        <w:t>estimation</w:t>
      </w:r>
      <w:r>
        <w:rPr>
          <w:rStyle w:val="KeywordTok"/>
        </w:rPr>
        <w:t>:</w:t>
      </w:r>
      <w:r>
        <w:rPr>
          <w:rStyle w:val="AttributeTok"/>
        </w:rPr>
        <w:t xml:space="preserve"> </w:t>
      </w:r>
      <w:r>
        <w:rPr>
          <w:rStyle w:val="KeywordTok"/>
        </w:rPr>
        <w:t>{</w:t>
      </w:r>
      <w:r>
        <w:rPr>
          <w:rStyle w:val="FunctionTok"/>
        </w:rPr>
        <w:t>x0</w:t>
      </w:r>
      <w:r>
        <w:rPr>
          <w:rStyle w:val="KeywordTok"/>
        </w:rPr>
        <w:t>:</w:t>
      </w:r>
      <w:r>
        <w:rPr>
          <w:rStyle w:val="AttributeTok"/>
        </w:rPr>
        <w:t xml:space="preserve"> </w:t>
      </w:r>
      <w:r>
        <w:rPr>
          <w:rStyle w:val="KeywordTok"/>
        </w:rPr>
        <w:t>[</w:t>
      </w:r>
      <w:r>
        <w:rPr>
          <w:rStyle w:val="FloatTok"/>
        </w:rPr>
        <w:t>0.0</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P0</w:t>
      </w:r>
      <w:r>
        <w:rPr>
          <w:rStyle w:val="KeywordTok"/>
        </w:rPr>
        <w:t>:</w:t>
      </w:r>
      <w:r>
        <w:rPr>
          <w:rStyle w:val="AttributeTok"/>
        </w:rPr>
        <w:t xml:space="preserve"> </w:t>
      </w:r>
      <w:r>
        <w:rPr>
          <w:rStyle w:val="KeywordTok"/>
        </w:rPr>
        <w:t>[</w:t>
      </w:r>
      <w:r>
        <w:rPr>
          <w:rStyle w:val="FloatTok"/>
        </w:rPr>
        <w:t>1.0</w:t>
      </w:r>
      <w:r>
        <w:rPr>
          <w:rStyle w:val="KeywordTok"/>
        </w:rPr>
        <w:t>,</w:t>
      </w:r>
      <w:r>
        <w:rPr>
          <w:rStyle w:val="AttributeTok"/>
        </w:rPr>
        <w:t xml:space="preserve"> </w:t>
      </w:r>
      <w:r>
        <w:rPr>
          <w:rStyle w:val="FloatTok"/>
        </w:rPr>
        <w:t>1.0</w:t>
      </w:r>
      <w:r>
        <w:rPr>
          <w:rStyle w:val="KeywordTok"/>
        </w:rPr>
        <w:t>]}</w:t>
      </w:r>
      <w:r>
        <w:rPr/>
        <w:br/>
      </w:r>
      <w:r>
        <w:rPr>
          <w:rStyle w:val="FunctionTok"/>
        </w:rPr>
        <w:t>methods</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kf</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adaptive_kf</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sensortrust_kf</w:t>
      </w:r>
      <w:r>
        <w:rPr>
          <w:rStyle w:val="KeywordTok"/>
        </w:rPr>
        <w:t>,</w:t>
      </w:r>
      <w:r>
        <w:rPr>
          <w:rStyle w:val="AttributeTok"/>
        </w:rPr>
        <w:t xml:space="preserve"> </w:t>
      </w:r>
      <w:r>
        <w:rPr>
          <w:rStyle w:val="FunctionTok"/>
        </w:rPr>
        <w:t>trust</w:t>
      </w:r>
      <w:r>
        <w:rPr>
          <w:rStyle w:val="KeywordTok"/>
        </w:rPr>
        <w:t>:</w:t>
      </w:r>
      <w:r>
        <w:rPr>
          <w:rStyle w:val="AttributeTok"/>
        </w:rPr>
        <w:t xml:space="preserve"> </w:t>
      </w:r>
      <w:r>
        <w:rPr>
          <w:rStyle w:val="KeywordTok"/>
        </w:rPr>
        <w:t>{</w:t>
      </w:r>
      <w:r>
        <w:rPr>
          <w:rStyle w:val="FunctionTok"/>
        </w:rPr>
        <w:t>ewma_lambda</w:t>
      </w:r>
      <w:r>
        <w:rPr>
          <w:rStyle w:val="KeywordTok"/>
        </w:rPr>
        <w:t>:</w:t>
      </w:r>
      <w:r>
        <w:rPr>
          <w:rStyle w:val="AttributeTok"/>
        </w:rPr>
        <w:t xml:space="preserve"> </w:t>
      </w:r>
      <w:r>
        <w:rPr>
          <w:rStyle w:val="FloatTok"/>
        </w:rPr>
        <w:t>0.98</w:t>
      </w:r>
      <w:r>
        <w:rPr>
          <w:rStyle w:val="KeywordTok"/>
        </w:rPr>
        <w:t>}}]</w:t>
      </w:r>
      <w:r>
        <w:rPr/>
        <w:br/>
      </w:r>
      <w:r>
        <w:rPr>
          <w:rStyle w:val="FunctionTok"/>
        </w:rPr>
        <w:t>metrics</w:t>
      </w:r>
      <w:r>
        <w:rPr>
          <w:rStyle w:val="KeywordTok"/>
        </w:rPr>
        <w:t>:</w:t>
      </w:r>
      <w:r>
        <w:rPr>
          <w:rStyle w:val="AttributeTok"/>
        </w:rPr>
        <w:t xml:space="preserve"> </w:t>
      </w:r>
      <w:r>
        <w:rPr>
          <w:rStyle w:val="KeywordTok"/>
        </w:rPr>
        <w:t>{</w:t>
      </w:r>
      <w:r>
        <w:rPr>
          <w:rStyle w:val="FunctionTok"/>
        </w:rPr>
        <w:t>target_state</w:t>
      </w:r>
      <w:r>
        <w:rPr>
          <w:rStyle w:val="KeywordTok"/>
        </w:rPr>
        <w:t>:</w:t>
      </w:r>
      <w:r>
        <w:rPr>
          <w:rStyle w:val="AttributeTok"/>
        </w:rPr>
        <w:t xml:space="preserve"> position</w:t>
      </w:r>
      <w:r>
        <w:rPr>
          <w:rStyle w:val="KeywordTok"/>
        </w:rPr>
        <w:t>,</w:t>
      </w:r>
      <w:r>
        <w:rPr>
          <w:rStyle w:val="AttributeTok"/>
        </w:rPr>
        <w:t xml:space="preserve"> </w:t>
      </w:r>
      <w:r>
        <w:rPr>
          <w:rStyle w:val="FunctionTok"/>
        </w:rPr>
        <w:t>warmup</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rmse_max</w:t>
      </w:r>
      <w:r>
        <w:rPr>
          <w:rStyle w:val="KeywordTok"/>
        </w:rPr>
        <w:t>:</w:t>
      </w:r>
      <w:r>
        <w:rPr>
          <w:rStyle w:val="AttributeTok"/>
        </w:rPr>
        <w:t xml:space="preserve"> </w:t>
      </w:r>
      <w:r>
        <w:rPr>
          <w:rStyle w:val="FloatTok"/>
        </w:rPr>
        <w:t>0.05</w:t>
      </w:r>
      <w:r>
        <w:rPr>
          <w:rStyle w:val="KeywordTok"/>
        </w:rPr>
        <w:t>}</w:t>
      </w:r>
      <w:r>
        <w:rPr/>
        <w:br/>
      </w:r>
      <w:r>
        <w:rPr>
          <w:rStyle w:val="FunctionTok"/>
        </w:rPr>
        <w:t>output</w:t>
      </w:r>
      <w:r>
        <w:rPr>
          <w:rStyle w:val="KeywordTok"/>
        </w:rPr>
        <w:t>:</w:t>
      </w:r>
      <w:r>
        <w:rPr>
          <w:rStyle w:val="AttributeTok"/>
        </w:rPr>
        <w:t xml:space="preserve"> </w:t>
      </w:r>
      <w:r>
        <w:rPr>
          <w:rStyle w:val="KeywordTok"/>
        </w:rPr>
        <w:t>{</w:t>
      </w:r>
      <w:r>
        <w:rPr>
          <w:rStyle w:val="FunctionTok"/>
        </w:rPr>
        <w:t>figures</w:t>
      </w:r>
      <w:r>
        <w:rPr>
          <w:rStyle w:val="KeywordTok"/>
        </w:rPr>
        <w:t>:</w:t>
      </w:r>
      <w:r>
        <w:rPr>
          <w:rStyle w:val="AttributeTok"/>
        </w:rPr>
        <w:t xml:space="preserve"> </w:t>
      </w:r>
      <w:r>
        <w:rPr>
          <w:rStyle w:val="KeywordTok"/>
        </w:rPr>
        <w:t>[</w:t>
      </w:r>
      <w:r>
        <w:rPr>
          <w:rStyle w:val="AttributeTok"/>
        </w:rPr>
        <w:t>png</w:t>
      </w:r>
      <w:r>
        <w:rPr>
          <w:rStyle w:val="KeywordTok"/>
        </w:rPr>
        <w:t>,</w:t>
      </w:r>
      <w:r>
        <w:rPr>
          <w:rStyle w:val="AttributeTok"/>
        </w:rPr>
        <w:t xml:space="preserve"> svg</w:t>
      </w:r>
      <w:r>
        <w:rPr>
          <w:rStyle w:val="KeywordTok"/>
        </w:rPr>
        <w:t>],</w:t>
      </w:r>
      <w:r>
        <w:rPr>
          <w:rStyle w:val="AttributeTok"/>
        </w:rPr>
        <w:t xml:space="preserve"> </w:t>
      </w:r>
      <w:r>
        <w:rPr>
          <w:rStyle w:val="FunctionTok"/>
        </w:rPr>
        <w:t>figure_dpi</w:t>
      </w:r>
      <w:r>
        <w:rPr>
          <w:rStyle w:val="KeywordTok"/>
        </w:rPr>
        <w:t>:</w:t>
      </w:r>
      <w:r>
        <w:rPr>
          <w:rStyle w:val="AttributeTok"/>
        </w:rPr>
        <w:t xml:space="preserve"> </w:t>
      </w:r>
      <w:r>
        <w:rPr>
          <w:rStyle w:val="DecValTok"/>
        </w:rPr>
        <w:t>150</w:t>
      </w:r>
      <w:r>
        <w:rPr>
          <w:rStyle w:val="KeywordTok"/>
        </w:rPr>
        <w:t>}</w:t>
      </w:r>
    </w:p>
    <w:p>
      <w:pPr>
        <w:pStyle w:val="FirstParagraph"/>
        <w:rPr/>
      </w:pPr>
      <w:r>
        <w:rPr/>
        <w:t xml:space="preserve">Secciones adicionales: </w:t>
      </w:r>
      <w:r>
        <w:rPr>
          <w:rStyle w:val="VerbatimChar"/>
        </w:rPr>
        <w:t>montecarlo</w:t>
      </w:r>
      <w:r>
        <w:rPr/>
        <w:t xml:space="preserve"> (corridas, semilla maestra, diseño, procesos, método de referencia, parámetros variables con ruta, distribución y límites) y </w:t>
      </w:r>
      <w:r>
        <w:rPr>
          <w:rStyle w:val="VerbatimChar"/>
        </w:rPr>
        <w:t>analysis</w:t>
      </w:r>
      <w:r>
        <w:rPr/>
        <w:t xml:space="preserve"> (</w:t>
      </w:r>
      <w:r>
        <w:rPr>
          <w:rStyle w:val="VerbatimChar"/>
        </w:rPr>
        <w:t>robustness</w:t>
      </w:r>
      <w:r>
        <w:rPr/>
        <w:t xml:space="preserve">, </w:t>
      </w:r>
      <w:r>
        <w:rPr>
          <w:rStyle w:val="VerbatimChar"/>
        </w:rPr>
        <w:t>sweep</w:t>
      </w:r>
      <w:r>
        <w:rPr/>
        <w:t xml:space="preserve"> o </w:t>
      </w:r>
      <w:r>
        <w:rPr>
          <w:rStyle w:val="VerbatimChar"/>
        </w:rPr>
        <w:t>sensitivity</w:t>
      </w:r>
      <w:r>
        <w:rPr/>
        <w:t xml:space="preserve">). Los parámetros se referencian con rutas como </w:t>
      </w:r>
      <w:r>
        <w:rPr>
          <w:rStyle w:val="VerbatimChar"/>
        </w:rPr>
        <w:t>sensors[1].degradations[0].severity</w:t>
      </w:r>
      <w:r>
        <w:rPr/>
        <w:t xml:space="preserve"> o </w:t>
      </w:r>
      <w:r>
        <w:rPr>
          <w:rStyle w:val="VerbatimChar"/>
        </w:rPr>
        <w:t>methods[3].trust.ewma_lambda</w:t>
      </w:r>
      <w:r>
        <w:rPr/>
        <w:t xml:space="preserve">. El directorio </w:t>
      </w:r>
      <w:r>
        <w:rPr>
          <w:rStyle w:val="VerbatimChar"/>
        </w:rPr>
        <w:t>configs/</w:t>
      </w:r>
      <w:r>
        <w:rPr/>
        <w:t xml:space="preserve"> contiene configuraciones con nombre para los 16 benchmarks y los estudios de referencia; </w:t>
      </w:r>
      <w:r>
        <w:rPr>
          <w:rStyle w:val="VerbatimChar"/>
        </w:rPr>
        <w:t>examples/</w:t>
      </w:r>
      <w:r>
        <w:rPr/>
        <w:t xml:space="preserve"> contiene los 12 ejemplos de la interfaz.</w:t>
      </w:r>
      <w:bookmarkEnd w:id="143"/>
    </w:p>
    <w:p>
      <w:pPr>
        <w:pStyle w:val="Heading1"/>
        <w:rPr/>
      </w:pPr>
      <w:bookmarkStart w:id="144" w:name="__RefHeading___Toc11130_1564873447"/>
      <w:bookmarkStart w:id="145" w:name="formatos-de-datos"/>
      <w:bookmarkEnd w:id="144"/>
      <w:r>
        <w:rPr/>
        <w:t>23. Formatos de datos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244"/>
        <w:gridCol w:w="5387"/>
      </w:tblGrid>
      <w:tr>
        <w:trPr>
          <w:tblHeader w:val="true"/>
        </w:trPr>
        <w:tc>
          <w:tcPr>
            <w:tcW w:w="42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Archivo</w:t>
            </w:r>
          </w:p>
        </w:tc>
        <w:tc>
          <w:tcPr>
            <w:tcW w:w="53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Contenido</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config.yaml</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configuración normalizada (re-ejecutable)</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manifest.json</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identificador, software, versión, fecha, modelo, duración, muestreo, sensores, fallos, métodos, semilla, SHA-256 de la configuración y del conjunto de datos, resumen de métricas, entorno, archivos</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dataset.csv</w:t>
            </w:r>
            <w:r>
              <w:rPr>
                <w:rFonts w:eastAsia="" w:cs=""/>
                <w:kern w:val="0"/>
                <w:sz w:val="17"/>
                <w:szCs w:val="24"/>
                <w:lang w:val="en-US" w:eastAsia="zh-CN" w:bidi="ar-SA"/>
              </w:rPr>
              <w:t xml:space="preserve"> + </w:t>
            </w:r>
            <w:r>
              <w:rPr>
                <w:rStyle w:val="VerbatimChar"/>
                <w:rFonts w:eastAsia="" w:cs=""/>
                <w:kern w:val="0"/>
                <w:sz w:val="17"/>
                <w:szCs w:val="24"/>
                <w:lang w:val="en-US" w:eastAsia="zh-CN" w:bidi="ar-SA"/>
              </w:rPr>
              <w:t>dataset_meta.json</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time</w:t>
            </w:r>
            <w:r>
              <w:rPr>
                <w:rFonts w:eastAsia="" w:cs=""/>
                <w:kern w:val="0"/>
                <w:sz w:val="17"/>
                <w:szCs w:val="24"/>
                <w:lang w:val="en-US" w:eastAsia="zh-CN" w:bidi="ar-SA"/>
              </w:rPr>
              <w:t xml:space="preserve">, </w:t>
            </w:r>
            <w:r>
              <w:rPr>
                <w:rStyle w:val="VerbatimChar"/>
                <w:rFonts w:eastAsia="" w:cs=""/>
                <w:kern w:val="0"/>
                <w:sz w:val="17"/>
                <w:szCs w:val="24"/>
                <w:lang w:val="en-US" w:eastAsia="zh-CN" w:bidi="ar-SA"/>
              </w:rPr>
              <w:t>true_&lt;estado&gt;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input_&lt;u&gt;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&lt;sensor&gt;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fault_&lt;sensor&gt;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truebias_&lt;sensor&gt;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truevar_&lt;sensor&gt;</w:t>
            </w:r>
            <w:r>
              <w:rPr>
                <w:rFonts w:eastAsia="" w:cs=""/>
                <w:kern w:val="0"/>
                <w:sz w:val="17"/>
                <w:szCs w:val="24"/>
                <w:lang w:val="en-US" w:eastAsia="zh-CN" w:bidi="ar-SA"/>
              </w:rPr>
              <w:t xml:space="preserve">, </w:t>
            </w:r>
            <w:r>
              <w:rPr>
                <w:rStyle w:val="VerbatimChar"/>
                <w:rFonts w:eastAsia="" w:cs=""/>
                <w:kern w:val="0"/>
                <w:sz w:val="17"/>
                <w:szCs w:val="24"/>
                <w:lang w:val="en-US" w:eastAsia="zh-CN" w:bidi="ar-SA"/>
              </w:rPr>
              <w:t>clean_&lt;sensor&gt;</w:t>
            </w:r>
            <w:r>
              <w:rPr>
                <w:rFonts w:eastAsia="" w:cs=""/>
                <w:kern w:val="0"/>
                <w:sz w:val="17"/>
                <w:szCs w:val="24"/>
                <w:lang w:val="en-US" w:eastAsia="zh-CN" w:bidi="ar-SA"/>
              </w:rPr>
              <w:t xml:space="preserve"> y metadatos</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estimates.csv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estimaciones y desviaciones </w:t>
            </w:r>
            <w:r>
              <w:rPr>
                <w:rFonts w:eastAsia="" w:cs=""/>
                <w:kern w:val="0"/>
                <w:szCs w:val="24"/>
                <w:lang w:val="en-US" w:eastAsia="zh-CN" w:bidi="ar-SA"/>
              </w:rPr>
            </w:r>
            <m:oMath xmlns:m="http://schemas.openxmlformats.org/officeDocument/2006/math">
              <m:rad>
                <m:radPr>
                  <m:degHide m:val="1"/>
                </m:radPr>
                <m:deg/>
                <m:e>
                  <m:sSub>
                    <m:e>
                      <m:r>
                        <w:rPr>
                          <w:rFonts w:ascii="Cambria Math" w:hAnsi="Cambria Math"/>
                        </w:rPr>
                        <m:t xml:space="preserve">P</m:t>
                      </m:r>
                    </m:e>
                    <m:sub>
                      <m:r>
                        <w:rPr>
                          <w:rFonts w:ascii="Cambria Math" w:hAnsi="Cambria Math"/>
                        </w:rPr>
                        <m:t xml:space="preserve">j</m:t>
                      </m:r>
                      <m:r>
                        <w:rPr>
                          <w:rFonts w:ascii="Cambria Math" w:hAnsi="Cambria Math"/>
                        </w:rPr>
                        <m:t xml:space="preserve">j</m:t>
                      </m:r>
                    </m:sub>
                  </m:sSub>
                </m:e>
              </m:rad>
            </m:oMath>
            <w:r>
              <w:rPr>
                <w:rFonts w:eastAsia="" w:cs=""/>
                <w:kern w:val="0"/>
                <w:sz w:val="17"/>
                <w:szCs w:val="24"/>
                <w:lang w:val="en-US" w:eastAsia="zh-CN" w:bidi="ar-SA"/>
              </w:rPr>
              <w:t xml:space="preserve"> por método</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trust.csv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confianza, pesos, alarmas, momentos, </w:t>
            </w:r>
            <w:r>
              <w:rPr>
                <w:rFonts w:eastAsia="" w:cs=""/>
                <w:kern w:val="0"/>
                <w:szCs w:val="24"/>
                <w:lang w:val="en-US" w:eastAsia="zh-CN" w:bidi="ar-SA"/>
              </w:rPr>
            </w:r>
            <m:oMath xmlns:m="http://schemas.openxmlformats.org/officeDocument/2006/math">
              <m:sSup>
                <m:e>
                  <m:r>
                    <w:rPr>
                      <w:rFonts w:ascii="Cambria Math" w:hAnsi="Cambria Math"/>
                    </w:rPr>
                    <m:t xml:space="preserve">R</m:t>
                  </m:r>
                </m:e>
                <m:sup>
                  <m:r>
                    <w:rPr>
                      <w:rFonts w:ascii="Cambria Math" w:hAnsi="Cambria Math"/>
                    </w:rPr>
                    <m:t xml:space="preserve">e</m:t>
                  </m:r>
                  <m:r>
                    <w:rPr>
                      <w:rFonts w:ascii="Cambria Math" w:hAnsi="Cambria Math"/>
                    </w:rPr>
                    <m:t xml:space="preserve">f</m:t>
                  </m:r>
                  <m:r>
                    <w:rPr>
                      <w:rFonts w:ascii="Cambria Math" w:hAnsi="Cambria Math"/>
                    </w:rPr>
                    <m:t xml:space="preserve">f</m:t>
                  </m:r>
                </m:sup>
              </m:sSup>
            </m:oMath>
            <w:r>
              <w:rPr>
                <w:rFonts w:eastAsia="" w:cs=""/>
                <w:kern w:val="0"/>
                <w:sz w:val="17"/>
                <w:szCs w:val="24"/>
                <w:lang w:val="en-US" w:eastAsia="zh-CN" w:bidi="ar-SA"/>
              </w:rPr>
              <w:t xml:space="preserve"> y </w:t>
            </w:r>
            <w:r>
              <w:rPr>
                <w:rFonts w:eastAsia="" w:cs=""/>
                <w:kern w:val="0"/>
                <w:szCs w:val="24"/>
                <w:lang w:val="en-US" w:eastAsia="zh-CN" w:bidi="ar-SA"/>
              </w:rPr>
            </w:r>
            <m:oMath xmlns:m="http://schemas.openxmlformats.org/officeDocument/2006/math">
              <m:acc>
                <m:accPr>
                  <m:chr m:val="^"/>
                </m:accPr>
                <m:e>
                  <m:r>
                    <w:rPr>
                      <w:rFonts w:ascii="Cambria Math" w:hAnsi="Cambria Math"/>
                    </w:rPr>
                    <m:t xml:space="preserve">R</m:t>
                  </m:r>
                </m:e>
              </m:acc>
            </m:oMath>
            <w:r>
              <w:rPr>
                <w:rFonts w:eastAsia="" w:cs=""/>
                <w:kern w:val="0"/>
                <w:sz w:val="17"/>
                <w:szCs w:val="24"/>
                <w:lang w:val="en-US" w:eastAsia="zh-CN" w:bidi="ar-SA"/>
              </w:rPr>
              <w:t xml:space="preserve"> por método y sensor</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innovations.csv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innovación, su desviación, NIS por sensor y NIS total</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metrics.json</w:t>
            </w:r>
            <w:r>
              <w:rPr>
                <w:rFonts w:eastAsia="" w:cs=""/>
                <w:kern w:val="0"/>
                <w:sz w:val="17"/>
                <w:szCs w:val="24"/>
                <w:lang w:val="en-US" w:eastAsia="zh-CN" w:bidi="ar-SA"/>
              </w:rPr>
              <w:t xml:space="preserve">, </w:t>
            </w:r>
            <w:r>
              <w:rPr>
                <w:rStyle w:val="VerbatimChar"/>
                <w:rFonts w:eastAsia="" w:cs=""/>
                <w:kern w:val="0"/>
                <w:sz w:val="17"/>
                <w:szCs w:val="24"/>
                <w:lang w:val="en-US" w:eastAsia="zh-CN" w:bidi="ar-SA"/>
              </w:rPr>
              <w:t>metrics.csv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métricas completas y tabla resumen</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figures/</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PNG, SVG y/o PDF</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run.log</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registro de la ejecución</w:t>
            </w:r>
          </w:p>
        </w:tc>
      </w:tr>
    </w:tbl>
    <w:p>
      <w:pPr>
        <w:pStyle w:val="BodyText"/>
        <w:rPr/>
      </w:pPr>
      <w:r>
        <w:rPr/>
        <w:t>Los estudios Monte Carlo (</w:t>
      </w:r>
      <w:r>
        <w:rPr>
          <w:rStyle w:val="VerbatimChar"/>
        </w:rPr>
        <w:t>ST_MC_…</w:t>
      </w:r>
      <w:r>
        <w:rPr/>
        <w:t xml:space="preserve">) guardan </w:t>
      </w:r>
      <w:r>
        <w:rPr>
          <w:rStyle w:val="VerbatimChar"/>
        </w:rPr>
        <w:t>design.csv</w:t>
      </w:r>
      <w:r>
        <w:rPr/>
        <w:t xml:space="preserve">, </w:t>
      </w:r>
      <w:r>
        <w:rPr>
          <w:rStyle w:val="VerbatimChar"/>
        </w:rPr>
        <w:t>runs.csv</w:t>
      </w:r>
      <w:r>
        <w:rPr/>
        <w:t xml:space="preserve">, </w:t>
      </w:r>
      <w:r>
        <w:rPr>
          <w:rStyle w:val="VerbatimChar"/>
        </w:rPr>
        <w:t>summary.csv</w:t>
      </w:r>
      <w:r>
        <w:rPr/>
        <w:t xml:space="preserve">, </w:t>
      </w:r>
      <w:r>
        <w:rPr>
          <w:rStyle w:val="VerbatimChar"/>
        </w:rPr>
        <w:t>success_rate.csv</w:t>
      </w:r>
      <w:r>
        <w:rPr/>
        <w:t xml:space="preserve"> y </w:t>
      </w:r>
      <w:r>
        <w:rPr>
          <w:rStyle w:val="VerbatimChar"/>
        </w:rPr>
        <w:t>paired_tests.csv</w:t>
      </w:r>
      <w:r>
        <w:rPr/>
        <w:t>; los de robustez (</w:t>
      </w:r>
      <w:r>
        <w:rPr>
          <w:rStyle w:val="VerbatimChar"/>
        </w:rPr>
        <w:t>ST_ROB_…</w:t>
      </w:r>
      <w:r>
        <w:rPr/>
        <w:t xml:space="preserve">), </w:t>
      </w:r>
      <w:r>
        <w:rPr>
          <w:rStyle w:val="VerbatimChar"/>
        </w:rPr>
        <w:t>envelope.csv</w:t>
      </w:r>
      <w:r>
        <w:rPr/>
        <w:t xml:space="preserve">, </w:t>
      </w:r>
      <w:r>
        <w:rPr>
          <w:rStyle w:val="VerbatimChar"/>
        </w:rPr>
        <w:t>tolerable_severity.csv</w:t>
      </w:r>
      <w:r>
        <w:rPr/>
        <w:t xml:space="preserve"> y </w:t>
      </w:r>
      <w:r>
        <w:rPr>
          <w:rStyle w:val="VerbatimChar"/>
        </w:rPr>
        <w:t>map.csv</w:t>
      </w:r>
      <w:r>
        <w:rPr/>
        <w:t>; los barridos (</w:t>
      </w:r>
      <w:r>
        <w:rPr>
          <w:rStyle w:val="VerbatimChar"/>
        </w:rPr>
        <w:t>ST_SWP_…</w:t>
      </w:r>
      <w:r>
        <w:rPr/>
        <w:t xml:space="preserve">), </w:t>
      </w:r>
      <w:r>
        <w:rPr>
          <w:rStyle w:val="VerbatimChar"/>
        </w:rPr>
        <w:t>aggregate.csv</w:t>
      </w:r>
      <w:r>
        <w:rPr/>
        <w:t>; los de sensibilidad (</w:t>
      </w:r>
      <w:r>
        <w:rPr>
          <w:rStyle w:val="VerbatimChar"/>
        </w:rPr>
        <w:t>ST_SEN_…</w:t>
      </w:r>
      <w:r>
        <w:rPr/>
        <w:t xml:space="preserve">), </w:t>
      </w:r>
      <w:r>
        <w:rPr>
          <w:rStyle w:val="VerbatimChar"/>
        </w:rPr>
        <w:t>samples.csv</w:t>
      </w:r>
      <w:r>
        <w:rPr/>
        <w:t xml:space="preserve"> e </w:t>
      </w:r>
      <w:r>
        <w:rPr>
          <w:rStyle w:val="VerbatimChar"/>
        </w:rPr>
        <w:t>indices.csv</w:t>
      </w:r>
      <w:r>
        <w:rPr/>
        <w:t xml:space="preserve">. La importación opcional acepta CSV, TXT (delimitador detectado) y JSON (lista de registros o </w:t>
      </w:r>
      <w:r>
        <w:rPr>
          <w:rStyle w:val="VerbatimChar"/>
        </w:rPr>
        <w:t>{"data": [...]}</w:t>
      </w:r>
      <w:r>
        <w:rPr/>
        <w:t>) con mapeo explícito de columnas de tiempo, sensores, valor verdadero opcional y fallos opcionales; sin valor verdadero se desactivan automáticamente las métricas que lo requieren.</w:t>
      </w:r>
      <w:bookmarkEnd w:id="145"/>
    </w:p>
    <w:p>
      <w:pPr>
        <w:pStyle w:val="Heading1"/>
        <w:rPr/>
      </w:pPr>
      <w:bookmarkStart w:id="146" w:name="__RefHeading___Toc11132_1564873447"/>
      <w:bookmarkStart w:id="147" w:name="reproducibilidad"/>
      <w:bookmarkEnd w:id="146"/>
      <w:r>
        <w:rPr/>
        <w:t>24. Reproducibilidad</w:t>
      </w:r>
    </w:p>
    <w:p>
      <w:pPr>
        <w:pStyle w:val="Compact"/>
        <w:numPr>
          <w:ilvl w:val="0"/>
          <w:numId w:val="24"/>
        </w:numPr>
        <w:rPr/>
      </w:pPr>
      <w:r>
        <w:rPr>
          <w:b/>
          <w:bCs/>
        </w:rPr>
        <w:t>Semillas:</w:t>
      </w:r>
      <w:r>
        <w:rPr/>
        <w:t xml:space="preserve"> todo proceso estocástico usa generadores derivados de la semilla (</w:t>
      </w:r>
      <w:r>
        <w:rPr>
          <w:rStyle w:val="VerbatimChar"/>
        </w:rPr>
        <w:t>utils/rng.py</w:t>
      </w:r>
      <w:r>
        <w:rPr/>
        <w:t xml:space="preserve">); además se siembran </w:t>
      </w:r>
      <w:r>
        <w:rPr>
          <w:rStyle w:val="VerbatimChar"/>
        </w:rPr>
        <w:t>random</w:t>
      </w:r>
      <w:r>
        <w:rPr/>
        <w:t xml:space="preserve"> y </w:t>
      </w:r>
      <w:r>
        <w:rPr>
          <w:rStyle w:val="VerbatimChar"/>
        </w:rPr>
        <w:t>numpy.random</w:t>
      </w:r>
      <w:r>
        <w:rPr/>
        <w:t xml:space="preserve"> globales. La semilla se valida (entero en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sSup>
              <m:e>
                <m:r>
                  <w:rPr>
                    <w:rFonts w:ascii="Cambria Math" w:hAnsi="Cambria Math"/>
                  </w:rPr>
                  <m:t xml:space="preserve">2</m:t>
                </m:r>
              </m:e>
              <m:sup>
                <m:r>
                  <w:rPr>
                    <w:rFonts w:ascii="Cambria Math" w:hAnsi="Cambria Math"/>
                  </w:rPr>
                  <m:t xml:space="preserve">63</m:t>
                </m:r>
              </m:sup>
            </m:sSup>
            <m:r>
              <w:rPr>
                <w:rFonts w:ascii="Cambria Math" w:hAnsi="Cambria Math"/>
              </w:rPr>
              <m:t xml:space="preserve">−</m:t>
            </m:r>
            <m:r>
              <w:rPr>
                <w:rFonts w:ascii="Cambria Math" w:hAnsi="Cambria Math"/>
              </w:rPr>
              <m:t xml:space="preserve">1</m:t>
            </m:r>
          </m:e>
        </m:d>
      </m:oMath>
      <w:r>
        <w:rPr/>
        <w:t>).</w:t>
      </w:r>
    </w:p>
    <w:p>
      <w:pPr>
        <w:pStyle w:val="Compact"/>
        <w:numPr>
          <w:ilvl w:val="0"/>
          <w:numId w:val="25"/>
        </w:numPr>
        <w:rPr/>
      </w:pPr>
      <w:r>
        <w:rPr>
          <w:b/>
          <w:bCs/>
        </w:rPr>
        <w:t>Comparación justa:</w:t>
      </w:r>
      <w:r>
        <w:rPr/>
        <w:t xml:space="preserve"> un único escenario por semilla; todos los métodos sobre los mismos datos (verificado por pruebas).</w:t>
      </w:r>
    </w:p>
    <w:p>
      <w:pPr>
        <w:pStyle w:val="Compact"/>
        <w:numPr>
          <w:ilvl w:val="0"/>
          <w:numId w:val="26"/>
        </w:numPr>
        <w:rPr/>
      </w:pPr>
      <w:r>
        <w:rPr>
          <w:b/>
          <w:bCs/>
        </w:rPr>
        <w:t>Identificadores ordenados:</w:t>
      </w:r>
      <w:r>
        <w:rPr/>
        <w:t xml:space="preserve"> </w:t>
      </w:r>
      <w:r>
        <w:rPr>
          <w:rStyle w:val="VerbatimChar"/>
        </w:rPr>
        <w:t>ST_EXP_&lt;año&gt;_&lt;n&gt;</w:t>
      </w:r>
      <w:r>
        <w:rPr/>
        <w:t xml:space="preserve"> reservados atómicamente.</w:t>
      </w:r>
    </w:p>
    <w:p>
      <w:pPr>
        <w:pStyle w:val="Compact"/>
        <w:numPr>
          <w:ilvl w:val="0"/>
          <w:numId w:val="27"/>
        </w:numPr>
        <w:rPr/>
      </w:pPr>
      <w:r>
        <w:rPr>
          <w:b/>
          <w:bCs/>
        </w:rPr>
        <w:t>Manifiesto</w:t>
      </w:r>
      <w:r>
        <w:rPr/>
        <w:t xml:space="preserve"> con hashes SHA-256 de la configuración normalizada y del conjunto de datos (valor verdadero + mediciones).</w:t>
      </w:r>
    </w:p>
    <w:p>
      <w:pPr>
        <w:pStyle w:val="Compact"/>
        <w:numPr>
          <w:ilvl w:val="0"/>
          <w:numId w:val="28"/>
        </w:numPr>
        <w:rPr/>
      </w:pPr>
      <w:r>
        <w:rPr>
          <w:b/>
          <w:bCs/>
        </w:rPr>
        <w:t>Verificación:</w:t>
      </w:r>
      <w:r>
        <w:rPr/>
        <w:t xml:space="preserve"> </w:t>
      </w:r>
      <w:r>
        <w:rPr>
          <w:rStyle w:val="VerbatimChar"/>
        </w:rPr>
        <w:t>python -m sensortrust verify results/&lt;ID&gt;</w:t>
      </w:r>
      <w:r>
        <w:rPr/>
        <w:t xml:space="preserve"> regenera el escenario y compara ambos hashes.</w:t>
      </w:r>
    </w:p>
    <w:p>
      <w:pPr>
        <w:pStyle w:val="Compact"/>
        <w:numPr>
          <w:ilvl w:val="0"/>
          <w:numId w:val="29"/>
        </w:numPr>
        <w:rPr/>
      </w:pPr>
      <w:r>
        <w:rPr>
          <w:b/>
          <w:bCs/>
        </w:rPr>
        <w:t>Estudios:</w:t>
      </w:r>
      <w:r>
        <w:rPr/>
        <w:t xml:space="preserve"> semillas por corrida derivadas de la semilla maestra y guardadas con los parámetros de cada corrida.</w:t>
      </w:r>
      <w:bookmarkEnd w:id="147"/>
    </w:p>
    <w:p>
      <w:pPr>
        <w:pStyle w:val="Heading1"/>
        <w:rPr/>
      </w:pPr>
      <w:bookmarkStart w:id="148" w:name="__RefHeading___Toc11134_1564873447"/>
      <w:bookmarkStart w:id="149" w:name="verificación-del-software"/>
      <w:bookmarkEnd w:id="148"/>
      <w:r>
        <w:rPr/>
        <w:t>25. Verificación del software</w:t>
      </w:r>
    </w:p>
    <w:p>
      <w:pPr>
        <w:pStyle w:val="FirstParagraph"/>
        <w:rPr/>
      </w:pPr>
      <w:r>
        <w:rPr/>
        <w:t>Durante el desarrollo se verificó el comportamiento de cada componente frente a resultados conocidos: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120"/>
        <w:gridCol w:w="5511"/>
      </w:tblGrid>
      <w:tr>
        <w:trPr>
          <w:tblHeader w:val="true"/>
        </w:trPr>
        <w:tc>
          <w:tcPr>
            <w:tcW w:w="412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Componente</w:t>
            </w:r>
          </w:p>
        </w:tc>
        <w:tc>
          <w:tcPr>
            <w:tcW w:w="55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Verificaciones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Modelos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dimensiones; discretización (Van Loan frente a la fórmula analítica, ZOH frente a </w:t>
            </w:r>
            <w:r>
              <w:rPr>
                <w:rStyle w:val="VerbatimChar"/>
                <w:rFonts w:eastAsia="" w:cs=""/>
                <w:kern w:val="0"/>
                <w:sz w:val="17"/>
                <w:szCs w:val="24"/>
                <w:lang w:val="en-US" w:eastAsia="zh-CN" w:bidi="ar-SA"/>
              </w:rPr>
              <w:t>expm</w:t>
            </w:r>
            <w:r>
              <w:rPr>
                <w:rFonts w:eastAsia="" w:cs=""/>
                <w:kern w:val="0"/>
                <w:sz w:val="17"/>
                <w:szCs w:val="24"/>
                <w:lang w:val="en-US" w:eastAsia="zh-CN" w:bidi="ar-SA"/>
              </w:rPr>
              <w:t>); estado estacionario térmico; periodo del péndulo; jacobiano; modelos del usuario; errores de configuración</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Sensores y ruido</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varianza de cada tipo de ruido; soporte del ruido uniforme; autocorrelación AR(1); frecuencia, retardo, resolución y rango; número arbitrario de sensores; los estimadores no acceden al valor verdadero</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Degradación</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ausencia de efecto antes de </w:t>
            </w:r>
            <w:r>
              <w:rPr>
                <w:rFonts w:eastAsia="" w:cs=""/>
                <w:kern w:val="0"/>
                <w:szCs w:val="24"/>
                <w:lang w:val="en-US" w:eastAsia="zh-CN" w:bidi="ar-SA"/>
              </w:rPr>
            </w:r>
            <m:oMath xmlns:m="http://schemas.openxmlformats.org/officeDocument/2006/math">
              <m:sSub>
                <m:e>
                  <m:r>
                    <w:rPr>
                      <w:rFonts w:ascii="Cambria Math" w:hAnsi="Cambria Math"/>
                    </w:rPr>
                    <m:t xml:space="preserve">t</m:t>
                  </m:r>
                </m:e>
                <m:sub>
                  <m:r>
                    <w:rPr>
                      <w:rFonts w:ascii="Cambria Math" w:hAnsi="Cambria Math"/>
                    </w:rPr>
                    <m:t xml:space="preserve">f</m:t>
                  </m:r>
                </m:sub>
              </m:sSub>
            </m:oMath>
            <w:r>
              <w:rPr>
                <w:rFonts w:eastAsia="" w:cs=""/>
                <w:kern w:val="0"/>
                <w:sz w:val="17"/>
                <w:szCs w:val="24"/>
                <w:lang w:val="en-US" w:eastAsia="zh-CN" w:bidi="ar-SA"/>
              </w:rPr>
              <w:t xml:space="preserve"> para los 15 tipos; valores exactos de sesgo, sesgo progresivo, deriva, varianza, congelamiento, sensibilidad, pérdida y recuperación; formas de perfil; fallos combinados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ecuación de Riccati; caso escalar analítico; sensor sin ruido; consistencia NIS/NEES; blancura de la innovación; KF = EKF = UKF en modelos lineales; EKF y UKF en el péndulo</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Momentos y confianza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estimadores de momentos; segundo momento frente a varianza; límites de la confianza; normalización de pesos; respuesta a sesgo, varianza y recuperación; sensor dominante (consenso); detección y falsas alarmas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Métricas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valores con resultado conocido; fases del fallo; NEES; detección; confianza y pesos; intervalos de confianza y pruebas pareadas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Reproducibilidad</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misma semilla, mismos datos y resultados; mismo conjunto de datos para todos los métodos; gemelo nominal; Monte Carlo en paralelo igual al secuencial</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Entrada y salida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estructura del directorio de resultados; comando </w:t>
            </w:r>
            <w:r>
              <w:rPr>
                <w:rStyle w:val="VerbatimChar"/>
                <w:rFonts w:eastAsia="" w:cs=""/>
                <w:kern w:val="0"/>
                <w:sz w:val="17"/>
                <w:szCs w:val="24"/>
                <w:lang w:val="en-US" w:eastAsia="zh-CN" w:bidi="ar-SA"/>
              </w:rPr>
              <w:t>verify</w:t>
            </w:r>
            <w:r>
              <w:rPr>
                <w:rFonts w:eastAsia="" w:cs=""/>
                <w:kern w:val="0"/>
                <w:sz w:val="17"/>
                <w:szCs w:val="24"/>
                <w:lang w:val="en-US" w:eastAsia="zh-CN" w:bidi="ar-SA"/>
              </w:rPr>
              <w:t>; configuraciones YAML/JSON válidas e inválidas; exportación e importación; archivos corruptos; métodos no aplicables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Estudios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diseños de muestreo; Monte Carlo; envolvente de robustez; sensibilidad OAT, Morris y Sobol; barridos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Interfaz gráfica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construcción de la ventana; alternancia español/inglés; carga de todos los ejemplos; todas las figuras para cada método y sensor; entradas no válidas con mensajes traducidos y sin cierres</w:t>
            </w:r>
          </w:p>
        </w:tc>
      </w:tr>
    </w:tbl>
    <w:p>
      <w:pPr>
        <w:pStyle w:val="BodyText"/>
        <w:rPr/>
      </w:pPr>
      <w:r>
        <w:rPr/>
        <w:t xml:space="preserve">La reproducibilidad de cualquier experimento guardado puede comprobarse en todo momento con </w:t>
      </w:r>
      <w:r>
        <w:rPr>
          <w:rStyle w:val="VerbatimChar"/>
        </w:rPr>
        <w:t>python -m sensortrust verify results/&lt;ID&gt;</w:t>
      </w:r>
      <w:r>
        <w:rPr/>
        <w:t xml:space="preserve"> (sección 24).</w:t>
      </w:r>
    </w:p>
    <w:p>
      <w:pPr>
        <w:pStyle w:val="Heading2"/>
        <w:rPr/>
      </w:pPr>
      <w:bookmarkStart w:id="150" w:name="__RefHeading___Toc11136_1564873447"/>
      <w:bookmarkStart w:id="151" w:name="robustez-de-la-interfaz-gráfica"/>
      <w:bookmarkEnd w:id="150"/>
      <w:r>
        <w:rPr/>
        <w:t>25.1 Robustez de la interfaz gráfica</w:t>
      </w:r>
    </w:p>
    <w:p>
      <w:pPr>
        <w:pStyle w:val="FirstParagraph"/>
        <w:rPr/>
      </w:pPr>
      <w:r>
        <w:rPr/>
        <w:t>El flujo de integración continua compila el ejecutable de Windows y lo somete a cuatro comprobaciones: apertura de la ventana real, permanencia de la ventana abierta durante 90 s sin cerrarse sola, ejecución de un benchmark por línea de comandos y ejecución de un Monte Carlo con procesos paralelos.</w:t>
      </w:r>
    </w:p>
    <w:p>
      <w:pPr>
        <w:pStyle w:val="BodyText"/>
        <w:rPr/>
      </w:pPr>
      <w:r>
        <w:rPr/>
        <w:t xml:space="preserve">Por diseño, la aplicación no se cierra ante errores inesperados: una excepción no controlada se registra en </w:t>
      </w:r>
      <w:r>
        <w:rPr>
          <w:rStyle w:val="VerbatimChar"/>
        </w:rPr>
        <w:t>sensortrust_gui.log</w:t>
      </w:r>
      <w:r>
        <w:rPr/>
        <w:t xml:space="preserve"> (carpeta </w:t>
      </w:r>
      <w:r>
        <w:rPr>
          <w:rStyle w:val="VerbatimChar"/>
        </w:rPr>
        <w:t>Documentos/SensorTrustFusion</w:t>
      </w:r>
      <w:r>
        <w:rPr/>
        <w:t>) y se informa en un cuadro de aviso, mientras la ventana sigue abierta.</w:t>
      </w:r>
      <w:bookmarkEnd w:id="149"/>
      <w:bookmarkEnd w:id="151"/>
    </w:p>
    <w:p>
      <w:pPr>
        <w:pStyle w:val="Heading1"/>
        <w:rPr/>
      </w:pPr>
      <w:bookmarkStart w:id="152" w:name="__RefHeading___Toc11138_1564873447"/>
      <w:bookmarkStart w:id="153" w:name="Xa4efe6181e6d59b80278b7f0f1c6a4fff6f06ac"/>
      <w:bookmarkEnd w:id="152"/>
      <w:r>
        <w:rPr/>
        <w:t>26. Validación científica y resultados de referencia</w:t>
      </w:r>
    </w:p>
    <w:p>
      <w:pPr>
        <w:pStyle w:val="FirstParagraph"/>
        <w:rPr/>
      </w:pPr>
      <w:r>
        <w:rPr/>
        <w:t xml:space="preserve">Los resultados siguientes se obtuvieron ejecutando el software con las configuraciones incluidas (configuración base: modelo de velocidad constante,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oMath>
      <w:r>
        <w:rPr/>
        <w:t xml:space="preserve"> m²/s³, 60 s a 100 Hz, tres sensores de posición con </w:t>
      </w:r>
      <w:r>
        <w:rPr/>
      </w:r>
      <m:oMath xmlns:m="http://schemas.openxmlformats.org/officeDocument/2006/math">
        <m:r>
          <w:rPr>
            <w:rFonts w:ascii="Cambria Math" w:hAnsi="Cambria Math"/>
          </w:rPr>
          <m:t xml:space="preserve">σ</m:t>
        </m:r>
      </m:oMath>
      <w:r>
        <w:rPr/>
        <w:t xml:space="preserve"> = 0,10; 0,15 y 0,20 m; semilla 42; especificación </w:t>
      </w:r>
      <w:r>
        <w:rPr/>
      </w:r>
      <m:oMath xmlns:m="http://schemas.openxmlformats.org/officeDocument/2006/math">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oMath>
      <w:r>
        <w:rPr/>
        <w:t xml:space="preserve"> m). Cada resultado puede reproducirse con la línea de comandos: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65"/>
        <w:gridCol w:w="6666"/>
      </w:tblGrid>
      <w:tr>
        <w:trPr>
          <w:tblHeader w:val="true"/>
        </w:trPr>
        <w:tc>
          <w:tcPr>
            <w:tcW w:w="296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Resultado</w:t>
            </w:r>
          </w:p>
        </w:tc>
        <w:tc>
          <w:tcPr>
            <w:tcW w:w="666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Comando</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Benchmarks ST-BENCH-01 a ST-BENCH-16</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benchmark all</w:t>
            </w:r>
            <w:r>
              <w:rPr>
                <w:rFonts w:eastAsia="" w:cs=""/>
                <w:kern w:val="0"/>
                <w:sz w:val="17"/>
                <w:szCs w:val="24"/>
                <w:lang w:val="en-US" w:eastAsia="zh-CN" w:bidi="ar-SA"/>
              </w:rPr>
              <w:t xml:space="preserve"> (o </w:t>
            </w:r>
            <w:r>
              <w:rPr>
                <w:rStyle w:val="VerbatimChar"/>
                <w:rFonts w:eastAsia="" w:cs=""/>
                <w:kern w:val="0"/>
                <w:sz w:val="17"/>
                <w:szCs w:val="24"/>
                <w:lang w:val="en-US" w:eastAsia="zh-CN" w:bidi="ar-SA"/>
              </w:rPr>
              <w:t>benchmark ST-BENCH-02</w:t>
            </w:r>
            <w:r>
              <w:rPr>
                <w:rFonts w:eastAsia="" w:cs=""/>
                <w:kern w:val="0"/>
                <w:sz w:val="17"/>
                <w:szCs w:val="24"/>
                <w:lang w:val="en-US" w:eastAsia="zh-CN" w:bidi="ar-SA"/>
              </w:rPr>
              <w:t>, etc.)</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Comparación de métodos</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run examples/example_10_method_comparison.yaml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Monte Carlo de sesgo abrupto</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montecarlo configs/montecarlo_abrupt_bias.yaml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Ablación de momentos</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montecarlo configs/montecarlo_ablation_moments.yaml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Envolvente y mapa de robustez</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robustness configs/robustness_abrupt_bias.yaml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Barrido sesgo × ruido</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sweep configs/sweep_bias_sigma.yaml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Sensibilidad Morris y Sobol</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sensitivity configs/sensitivity_morris.yaml</w:t>
            </w:r>
            <w:r>
              <w:rPr>
                <w:rFonts w:eastAsia="" w:cs=""/>
                <w:kern w:val="0"/>
                <w:sz w:val="17"/>
                <w:szCs w:val="24"/>
                <w:lang w:val="en-US" w:eastAsia="zh-CN" w:bidi="ar-SA"/>
              </w:rPr>
              <w:t xml:space="preserve"> y </w:t>
            </w:r>
            <w:r>
              <w:rPr>
                <w:rStyle w:val="VerbatimChar"/>
                <w:rFonts w:eastAsia="" w:cs=""/>
                <w:kern w:val="0"/>
                <w:sz w:val="17"/>
                <w:szCs w:val="24"/>
                <w:lang w:val="en-US" w:eastAsia="zh-CN" w:bidi="ar-SA"/>
              </w:rPr>
              <w:t>configs/sensitivity_sobol.yaml</w:t>
            </w:r>
          </w:p>
        </w:tc>
      </w:tr>
    </w:tbl>
    <w:p>
      <w:pPr>
        <w:pStyle w:val="BodyText"/>
        <w:rPr/>
      </w:pPr>
      <w:r>
        <w:rPr/>
        <w:t>Los mismos estudios pueden ejecutarse desde la interfaz gráfica cargando el archivo de configuración correspondiente.</w:t>
      </w:r>
    </w:p>
    <w:p>
      <w:pPr>
        <w:pStyle w:val="Heading2"/>
        <w:rPr/>
      </w:pPr>
      <w:bookmarkStart w:id="154" w:name="__RefHeading___Toc11140_1564873447"/>
      <w:bookmarkStart w:id="155" w:name="caso-nominal-y-consistencia"/>
      <w:bookmarkEnd w:id="154"/>
      <w:r>
        <w:rPr/>
        <w:t>26.1 Caso nominal y consistencia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743"/>
        <w:gridCol w:w="1115"/>
        <w:gridCol w:w="1115"/>
        <w:gridCol w:w="1116"/>
        <w:gridCol w:w="983"/>
        <w:gridCol w:w="1444"/>
        <w:gridCol w:w="1115"/>
      </w:tblGrid>
      <w:tr>
        <w:trPr>
          <w:tblHeader w:val="true"/>
        </w:trPr>
        <w:tc>
          <w:tcPr>
            <w:tcW w:w="274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RMSE [m]</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MAE [m]</w:t>
            </w:r>
          </w:p>
        </w:tc>
        <w:tc>
          <w:tcPr>
            <w:tcW w:w="111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Error máx. [m]</w:t>
            </w:r>
          </w:p>
        </w:tc>
        <w:tc>
          <w:tcPr>
            <w:tcW w:w="98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NIS/m</w:t>
            </w:r>
          </w:p>
        </w:tc>
        <w:tc>
          <w:tcPr>
            <w:tcW w:w="14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Fracción NIS en IC95</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NEES/n</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Promedio simple</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0.0898</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0.0717</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0.3577</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0.0766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0.0614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0.3174</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0.0164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1.005</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0.949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1.080</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0.0165</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0.0696</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0.992</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0.953</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1.086</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0.0173</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0.0729</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0.921</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0.962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1.145</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0.0165</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1.000</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0.950</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1.079</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R verdadera (oráculo)</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0.0164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1.005</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0.949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1.080</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(solo S1)</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0.0202</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0.0811</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1.009</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0.950</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1.129</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(solo S2)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0.0337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0.0267</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0.1203</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1.014</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0.947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0.956</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(solo S3)</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0.0447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0.0358</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0.1570</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0.994</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0.948</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1.098</w:t>
            </w:r>
          </w:p>
        </w:tc>
      </w:tr>
    </w:tbl>
    <w:p>
      <w:pPr>
        <w:pStyle w:val="BodyText"/>
        <w:rPr/>
      </w:pPr>
      <w:bookmarkStart w:id="156" w:name="caso-nominal-y-consistencia"/>
      <w:r>
        <w:rPr/>
        <w:t>En el caso nominal (ST-BENCH-01) los filtros son consistentes (NIS/m y NEES/n cercanos a 1) y la fusión de los tres sensores con KF reduce el RMSE respecto a cualquier sensor individual; SensorTrust KF coincide con el KF nominal, es decir, la adaptación no degrada el desempeño cuando no hay fallos.</w:t>
      </w:r>
      <w:bookmarkEnd w:id="156"/>
    </w:p>
    <w:p>
      <w:pPr>
        <w:pStyle w:val="Heading2"/>
        <w:rPr/>
      </w:pPr>
      <w:bookmarkStart w:id="157" w:name="__RefHeading___Toc11142_1564873447"/>
      <w:bookmarkStart w:id="158" w:name="benchmarks-de-degradación"/>
      <w:bookmarkEnd w:id="157"/>
      <w:r>
        <w:rPr/>
        <w:t>26.2 Benchmarks de degradación</w:t>
      </w:r>
    </w:p>
    <w:p>
      <w:pPr>
        <w:pStyle w:val="FirstParagraph"/>
        <w:rPr/>
      </w:pPr>
      <w:r>
        <w:rPr/>
        <w:t>RMSE [m] de la posición en ST-BENCH-01 a ST-BENCH-12:</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471"/>
        <w:gridCol w:w="1049"/>
        <w:gridCol w:w="1048"/>
        <w:gridCol w:w="1248"/>
        <w:gridCol w:w="1148"/>
        <w:gridCol w:w="1349"/>
        <w:gridCol w:w="1318"/>
      </w:tblGrid>
      <w:tr>
        <w:trPr>
          <w:tblHeader w:val="true"/>
        </w:trPr>
        <w:tc>
          <w:tcPr>
            <w:tcW w:w="247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Benchmark</w:t>
            </w:r>
          </w:p>
        </w:tc>
        <w:tc>
          <w:tcPr>
            <w:tcW w:w="10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Promedio simple</w:t>
            </w:r>
          </w:p>
        </w:tc>
        <w:tc>
          <w:tcPr>
            <w:tcW w:w="10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(R nominal)</w:t>
            </w:r>
          </w:p>
        </w:tc>
        <w:tc>
          <w:tcPr>
            <w:tcW w:w="12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adaptativo</w:t>
            </w:r>
          </w:p>
        </w:tc>
        <w:tc>
          <w:tcPr>
            <w:tcW w:w="11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 compuerta NIS</w:t>
            </w:r>
          </w:p>
        </w:tc>
        <w:tc>
          <w:tcPr>
            <w:tcW w:w="13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SensorTrust KF</w:t>
            </w:r>
          </w:p>
        </w:tc>
        <w:tc>
          <w:tcPr>
            <w:tcW w:w="13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R verdadera (oráculo)</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ST-BENCH-01 Nominal</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0.0898</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0.0206</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0.0206</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ST-BENCH-02 Sesgo abrupto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0.2889</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0.2174</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0.0241</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0.0224</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0.2174</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ST-BENCH-03 Sesgo progresivo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0.3297</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0.2510</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0.0315</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0.0227</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0.2510</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ST-BENCH-04 Varianza creciente</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0.2653</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0.0536</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0.0253</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0.0223</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0.0222</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ST-BENCH-05 Deriva</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0.1575</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0.1045</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0.0273</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0.0424</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0.0225</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0.1045</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ST-BENCH-06 Valores atípicos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0.1786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0.0341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0.0220</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0.0221</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0.0219</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ST-BENCH-07 Sensor congelado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0.8275</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0.6473</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0.0327</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0.0233</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0.6473</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ST-BENCH-08 Pérdida de muestras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0.0941</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0.0234</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0.0221</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0.0221</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ST-BENCH-09 Recuperación</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0.2806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0.2105</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0.0228</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0.0270</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0.0222</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0.2105</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ST-BENCH-10 Dos fallos simultáneos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0.4090</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0.2177</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0.2533</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ST-BENCH-11 Sesgo + ruido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0.2866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0.1681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0.0258</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0.0224</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0.0252</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ST-BENCH-12 Múltiples perfiles de degradación</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0.3492</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0.2954</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0.0334</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0.0336</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0.0215</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0.2954</w:t>
            </w:r>
          </w:p>
        </w:tc>
      </w:tr>
    </w:tbl>
    <w:p>
      <w:pPr>
        <w:pStyle w:val="BodyText"/>
        <w:rPr/>
      </w:pPr>
      <w:r>
        <w:rPr/>
        <w:t xml:space="preserve">Detección y confianza del sensor degradado con SensorTrust (detector </w:t>
      </w:r>
      <w:r>
        <w:rPr>
          <w:rStyle w:val="VerbatimChar"/>
        </w:rPr>
        <w:t>moment_test</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05"/>
        <w:gridCol w:w="2329"/>
        <w:gridCol w:w="1394"/>
        <w:gridCol w:w="1059"/>
        <w:gridCol w:w="836"/>
        <w:gridCol w:w="1226"/>
        <w:gridCol w:w="1282"/>
      </w:tblGrid>
      <w:tr>
        <w:trPr>
          <w:tblHeader w:val="true"/>
        </w:trPr>
        <w:tc>
          <w:tcPr>
            <w:tcW w:w="150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Benchmark</w:t>
            </w:r>
          </w:p>
        </w:tc>
        <w:tc>
          <w:tcPr>
            <w:tcW w:w="232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139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Fallos detectados</w:t>
            </w:r>
          </w:p>
        </w:tc>
        <w:tc>
          <w:tcPr>
            <w:tcW w:w="105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Retardo medio [s]</w:t>
            </w:r>
          </w:p>
        </w:tc>
        <w:tc>
          <w:tcPr>
            <w:tcW w:w="83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F1 medio</w:t>
            </w:r>
          </w:p>
        </w:tc>
        <w:tc>
          <w:tcPr>
            <w:tcW w:w="122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falsa alarma</w:t>
            </w:r>
          </w:p>
        </w:tc>
        <w:tc>
          <w:tcPr>
            <w:tcW w:w="128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Confianza mínima</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ST-BENCH-02</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ST-BENCH-03</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0.977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ST-BENCH-04</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0.981</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0.0141</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ST-BENCH-05</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5.10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0.909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ST-BENCH-06</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0.940</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0.0340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ST-BENCH-07</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0.0141</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ST-BENCH-08</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26.74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0.065</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0.0114</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0.891</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ST-BENCH-09</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0.0197</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ST-BENCH-10</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0.994</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ST-BENCH-11</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0.39</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0.986</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ST-BENCH-12</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3/3</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0.98</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0.898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0.0643</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EKF</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0.0056</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ST-BENCH-14</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5.10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0.978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0.0000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0.990</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0.0144</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0.99</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0.977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0.0219</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w:t>
            </w:r>
          </w:p>
        </w:tc>
      </w:tr>
    </w:tbl>
    <w:p>
      <w:pPr>
        <w:pStyle w:val="CaptionedFigure"/>
        <w:jc w:val="center"/>
        <w:rPr/>
      </w:pPr>
      <w:r>
        <w:rPr/>
        <w:drawing>
          <wp:inline distT="0" distB="0" distL="0" distR="0">
            <wp:extent cx="5334000" cy="2844800"/>
            <wp:effectExtent l="0" t="0" r="0" b="0"/>
            <wp:docPr id="1" name="Picture" descr="Figura 1. Segundo momento y varianza de la innovación en ST-BENCH-02 (sesgo abrupto en S2): el sesgo eleva el segundo momento pero no la varianz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Segundo momento y varianza de la innovación en ST-BENCH-02 (sesgo abrupto en S2): el sesgo eleva el segundo momento pero no la varianza central"/>
                    <pic:cNvPicPr>
                      <a:picLocks noChangeAspect="1" noChangeArrowheads="1"/>
                    </pic:cNvPicPr>
                  </pic:nvPicPr>
                  <pic:blipFill>
                    <a:blip r:embed="rId2"/>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1. Segundo momento y varianza de la innovación en ST-BENCH-02 (sesgo abrupto en S2): el sesgo eleva el segundo momento pero no la varianza central</w:t>
      </w:r>
    </w:p>
    <w:p>
      <w:pPr>
        <w:pStyle w:val="CaptionedFigure"/>
        <w:jc w:val="center"/>
        <w:rPr/>
      </w:pPr>
      <w:r>
        <w:rPr/>
        <w:drawing>
          <wp:inline distT="0" distB="0" distL="0" distR="0">
            <wp:extent cx="5334000" cy="2844800"/>
            <wp:effectExtent l="0" t="0" r="0" b="0"/>
            <wp:docPr id="2" name="Image2" descr="Figura 2. Segundo momento y varianza de la innovación en ST-BENCH-04 (varianza creciente en S2): ambos aum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Segundo momento y varianza de la innovación en ST-BENCH-04 (varianza creciente en S2): ambos aumentan"/>
                    <pic:cNvPicPr>
                      <a:picLocks noChangeAspect="1" noChangeArrowheads="1"/>
                    </pic:cNvPicPr>
                  </pic:nvPicPr>
                  <pic:blipFill>
                    <a:blip r:embed="rId3"/>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2. Segundo momento y varianza de la innovación en ST-BENCH-04 (varianza creciente en S2): ambos aumentan</w:t>
      </w:r>
    </w:p>
    <w:p>
      <w:pPr>
        <w:pStyle w:val="CaptionedFigure"/>
        <w:jc w:val="center"/>
        <w:rPr/>
      </w:pPr>
      <w:r>
        <w:rPr/>
        <w:drawing>
          <wp:inline distT="0" distB="0" distL="0" distR="0">
            <wp:extent cx="5334000" cy="2844800"/>
            <wp:effectExtent l="0" t="0" r="0" b="0"/>
            <wp:docPr id="3" name="Image3" descr="Figura 3. Confianza en ST-BENCH-09 (sesgo con recuperación en S2): disminución rápida y recuperación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Confianza en ST-BENCH-09 (sesgo con recuperación en S2): disminución rápida y recuperación posterior"/>
                    <pic:cNvPicPr>
                      <a:picLocks noChangeAspect="1" noChangeArrowheads="1"/>
                    </pic:cNvPicPr>
                  </pic:nvPicPr>
                  <pic:blipFill>
                    <a:blip r:embed="rId4"/>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3. Confianza en ST-BENCH-09 (sesgo con recuperación en S2): disminución rápida y recuperación posterior</w:t>
      </w:r>
    </w:p>
    <w:p>
      <w:pPr>
        <w:pStyle w:val="BodyText"/>
        <w:rPr/>
      </w:pPr>
      <w:r>
        <w:rPr/>
        <w:t xml:space="preserve">Observaciones: (i) el KF con </w:t>
      </w:r>
      <w:r>
        <w:rPr/>
      </w:r>
      <m:oMath xmlns:m="http://schemas.openxmlformats.org/officeDocument/2006/math">
        <m:r>
          <w:rPr>
            <w:rFonts w:ascii="Cambria Math" w:hAnsi="Cambria Math"/>
          </w:rPr>
          <m:t xml:space="preserve">R</m:t>
        </m:r>
      </m:oMath>
      <w:r>
        <w:rPr/>
        <w:t xml:space="preserve"> nominal y los promedios estáticos incumplen la especificación ante sesgos, deriva y congelamiento; (ii) el KF con </w:t>
      </w:r>
      <w:r>
        <w:rPr/>
      </w:r>
      <m:oMath xmlns:m="http://schemas.openxmlformats.org/officeDocument/2006/math">
        <m:r>
          <w:rPr>
            <w:rFonts w:ascii="Cambria Math" w:hAnsi="Cambria Math"/>
          </w:rPr>
          <m:t xml:space="preserve">R</m:t>
        </m:r>
      </m:oMath>
      <w:r>
        <w:rPr/>
        <w:t xml:space="preserve"> verdadera (oráculo) corrige el aumento de varianza pero no el sesgo, porque este no es una propiedad de </w:t>
      </w:r>
      <w:r>
        <w:rPr/>
      </w:r>
      <m:oMath xmlns:m="http://schemas.openxmlformats.org/officeDocument/2006/math">
        <m:r>
          <w:rPr>
            <w:rFonts w:ascii="Cambria Math" w:hAnsi="Cambria Math"/>
          </w:rPr>
          <m:t xml:space="preserve">R</m:t>
        </m:r>
      </m:oMath>
      <w:r>
        <w:rPr/>
        <w:t>; (iii) SensorTrust KF permanece cerca del RMSE nominal en todos los casos con fallos detectables mediante la innovación; (iv) la pérdida de muestras (ST-BENCH-08) no es detectable por la innovación y no afecta de forma apreciable al KF.</w:t>
      </w:r>
      <w:bookmarkEnd w:id="158"/>
    </w:p>
    <w:p>
      <w:pPr>
        <w:pStyle w:val="Heading2"/>
        <w:rPr/>
      </w:pPr>
      <w:bookmarkStart w:id="159" w:name="__RefHeading___Toc11144_1564873447"/>
      <w:bookmarkEnd w:id="159"/>
      <w:r>
        <w:rPr/>
        <w:t>26.3 Otros modelos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02"/>
        <w:gridCol w:w="3344"/>
        <w:gridCol w:w="1260"/>
        <w:gridCol w:w="1468"/>
        <w:gridCol w:w="1558"/>
      </w:tblGrid>
      <w:tr>
        <w:trPr>
          <w:tblHeader w:val="true"/>
        </w:trPr>
        <w:tc>
          <w:tcPr>
            <w:tcW w:w="200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Benchmark</w:t>
            </w:r>
          </w:p>
        </w:tc>
        <w:tc>
          <w:tcPr>
            <w:tcW w:w="33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126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RMSE</w:t>
            </w:r>
          </w:p>
        </w:tc>
        <w:tc>
          <w:tcPr>
            <w:tcW w:w="146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RMSE durante fallo</w:t>
            </w:r>
          </w:p>
        </w:tc>
        <w:tc>
          <w:tcPr>
            <w:tcW w:w="155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NEES/n</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EKF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30.740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UKF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30.740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0.0050</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0.0053</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1.067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EKF</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0.0048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1.013</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UKF</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0.0048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1.013</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Promedio simple</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0.3885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0.4649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0.3002</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0.3611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26.577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0.0514</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0.0526</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1.161</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0.0481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0.0480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1.070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0.1288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0.1564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1119.708</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0.0041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1.218</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0.0034</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0.0035</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1.050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Fusión de estimaciones CI (pesos iguales)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0.1219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0.1481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284.452</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fusión de estimaciones CI</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0.0057</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0.729</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0.3463</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0.3964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633.831</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0.4462</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0.5109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842.024</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0.4445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0.5089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863.747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1.155</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(sin consenso, ablación)</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0.4531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0.5188</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884.776</w:t>
            </w:r>
            <w:bookmarkStart w:id="160" w:name="otros-modelos"/>
            <w:bookmarkEnd w:id="160"/>
          </w:p>
        </w:tc>
      </w:tr>
    </w:tbl>
    <w:p>
      <w:pPr>
        <w:pStyle w:val="Heading2"/>
        <w:rPr/>
      </w:pPr>
      <w:bookmarkStart w:id="161" w:name="__RefHeading___Toc11146_1564873447"/>
      <w:bookmarkEnd w:id="161"/>
      <w:r>
        <w:rPr/>
        <w:t>26.4 Sensor dominante (ST-BENCH-16)</w:t>
      </w:r>
    </w:p>
    <w:p>
      <w:pPr>
        <w:pStyle w:val="FirstParagraph"/>
        <w:rPr/>
      </w:pPr>
      <w:r>
        <w:rPr/>
        <w:t>Cuando el sensor más preciso (S2, 0,05 m) desarrolla un sesgo progresivo, los métodos que evalúan cada innovación de forma aislada atribuyen el fallo a los sensores sanos. El RMSE de SensorTrust KF es 0.0215 m frente a 0.4531 m sin la referencia de consenso, 0.3463 m del KF nominal y 0.4462 m del KF adaptativo.</w:t>
      </w:r>
    </w:p>
    <w:p>
      <w:pPr>
        <w:pStyle w:val="CaptionedFigure"/>
        <w:jc w:val="center"/>
        <w:rPr/>
      </w:pPr>
      <w:r>
        <w:rPr/>
        <w:drawing>
          <wp:inline distT="0" distB="0" distL="0" distR="0">
            <wp:extent cx="5334000" cy="2370455"/>
            <wp:effectExtent l="0" t="0" r="0" b="0"/>
            <wp:docPr id="4" name="Image4" descr="Figura 4. Comparación de RMSE en ST-BENCH-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Comparación de RMSE en ST-BENCH-16"/>
                    <pic:cNvPicPr>
                      <a:picLocks noChangeAspect="1" noChangeArrowheads="1"/>
                    </pic:cNvPicPr>
                  </pic:nvPicPr>
                  <pic:blipFill>
                    <a:blip r:embed="rId5"/>
                    <a:stretch>
                      <a:fillRect/>
                    </a:stretch>
                  </pic:blipFill>
                  <pic:spPr bwMode="auto">
                    <a:xfrm>
                      <a:off x="0" y="0"/>
                      <a:ext cx="5334000" cy="2370455"/>
                    </a:xfrm>
                    <a:prstGeom prst="rect">
                      <a:avLst/>
                    </a:prstGeom>
                  </pic:spPr>
                </pic:pic>
              </a:graphicData>
            </a:graphic>
          </wp:inline>
        </w:drawing>
      </w:r>
    </w:p>
    <w:p>
      <w:pPr>
        <w:pStyle w:val="ImageCaption"/>
        <w:jc w:val="center"/>
        <w:rPr/>
      </w:pPr>
      <w:r>
        <w:rPr>
          <w:i/>
          <w:sz w:val="18"/>
        </w:rPr>
        <w:t>Figura 4. Comparación de RMSE en ST-BENCH-16</w:t>
      </w:r>
    </w:p>
    <w:p>
      <w:pPr>
        <w:pStyle w:val="Heading2"/>
        <w:rPr/>
      </w:pPr>
      <w:bookmarkStart w:id="162" w:name="__RefHeading___Toc11148_1564873447"/>
      <w:bookmarkEnd w:id="162"/>
      <w:r>
        <w:rPr/>
        <w:t>26.5 Comparación de métodos (sesgo + ruido)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391"/>
        <w:gridCol w:w="1278"/>
        <w:gridCol w:w="1278"/>
        <w:gridCol w:w="1128"/>
        <w:gridCol w:w="1278"/>
        <w:gridCol w:w="1278"/>
      </w:tblGrid>
      <w:tr>
        <w:trPr>
          <w:tblHeader w:val="true"/>
        </w:trPr>
        <w:tc>
          <w:tcPr>
            <w:tcW w:w="339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RMSE [m]</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RMSE fallo [m]</w:t>
            </w:r>
          </w:p>
        </w:tc>
        <w:tc>
          <w:tcPr>
            <w:tcW w:w="112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NIS/m</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NEES/n</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Tiempo [s]</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Promedio simple</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0.2866</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0.3429</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0.2282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0.2724</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0.1681</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0.2038</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9.363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63.102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0.59</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1.014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1.169</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1.13</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0.0258</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0.0275</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0.957</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1.367</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0.64</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primer momento)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0.0234</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0.915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1.22</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segundo momento)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0.906</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1.33</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0.903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1.094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1.26</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Fusión de estimaciones CI (pesos iguales)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0.1699</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0.2059</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31.831</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1.25</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fusión de estimaciones CI</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0.795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1.89</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R verdadera (oráculo)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1.358</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0.67</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Mejor sensor (oráculo)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0.1005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0.1005</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bookmarkStart w:id="163" w:name="comparación-de-métodos-sesgo-ruido"/>
            <w:bookmarkEnd w:id="163"/>
          </w:p>
        </w:tc>
      </w:tr>
    </w:tbl>
    <w:p>
      <w:pPr>
        <w:pStyle w:val="Heading2"/>
        <w:rPr/>
      </w:pPr>
      <w:bookmarkStart w:id="164" w:name="__RefHeading___Toc11150_1564873447"/>
      <w:bookmarkEnd w:id="164"/>
      <w:r>
        <w:rPr/>
        <w:t>26.6 Monte Carlo</w:t>
      </w:r>
    </w:p>
    <w:p>
      <w:pPr>
        <w:pStyle w:val="FirstParagraph"/>
        <w:rPr/>
      </w:pPr>
      <w:r>
        <w:rPr/>
        <w:t xml:space="preserve">Estudio </w:t>
      </w:r>
      <w:r>
        <w:rPr>
          <w:rStyle w:val="VerbatimChar"/>
        </w:rPr>
        <w:t>montecarlo_abrupt_bias</w:t>
      </w:r>
      <w:r>
        <w:rPr/>
        <w:t xml:space="preserve">: 100 corridas con </w:t>
      </w:r>
      <w:r>
        <w:rPr/>
      </w:r>
      <m:oMath xmlns:m="http://schemas.openxmlformats.org/officeDocument/2006/math">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30</m:t>
        </m:r>
        <m:r>
          <w:rPr>
            <w:rFonts w:ascii="Cambria Math" w:hAnsi="Cambria Math"/>
          </w:rPr>
          <m:t xml:space="preserve">)</m:t>
        </m:r>
      </m:oMath>
      <w:r>
        <w:rPr/>
        <w:t xml:space="preserve"> 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m y </w:t>
      </w:r>
      <w:r>
        <w:rPr/>
      </w:r>
      <m:oMath xmlns:m="http://schemas.openxmlformats.org/officeDocument/2006/math">
        <m:sSub>
          <m:e>
            <m:r>
              <w:rPr>
                <w:rFonts w:ascii="Cambria Math" w:hAnsi="Cambria Math"/>
              </w:rPr>
              <m:t xml:space="preserve">σ</m:t>
            </m:r>
          </m:e>
          <m:sub>
            <m:r>
              <w:rPr>
                <w:rFonts w:ascii="Cambria Math" w:hAnsi="Cambria Math"/>
              </w:rPr>
              <m:t xml:space="preserve">S</m:t>
            </m:r>
            <m:r>
              <w:rPr>
                <w:rFonts w:ascii="Cambria Math" w:hAnsi="Cambria Math"/>
              </w:rPr>
              <m:t xml:space="preserve">2</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61"/>
        <w:gridCol w:w="2110"/>
        <w:gridCol w:w="688"/>
        <w:gridCol w:w="796"/>
        <w:gridCol w:w="890"/>
        <w:gridCol w:w="797"/>
        <w:gridCol w:w="796"/>
        <w:gridCol w:w="797"/>
        <w:gridCol w:w="796"/>
      </w:tblGrid>
      <w:tr>
        <w:trPr>
          <w:tblHeader w:val="true"/>
        </w:trPr>
        <w:tc>
          <w:tcPr>
            <w:tcW w:w="196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1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Métrica</w:t>
            </w:r>
          </w:p>
        </w:tc>
        <w:tc>
          <w:tcPr>
            <w:tcW w:w="6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Media</w:t>
            </w:r>
          </w:p>
        </w:tc>
        <w:tc>
          <w:tcPr>
            <w:tcW w:w="89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Mediana</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Desv.</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P95</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IC95 inf.</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IC95 sup.</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0.2273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0.2160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0.7388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0.1844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0.2701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0.2908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0.1776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0.2762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1.0054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0.2360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0.3456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0.2006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0.1056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0.2284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0.7376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0.1553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0.2459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0.2698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0.2872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0.2129</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0.3268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0.0247</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0.0027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0.0285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0.0242</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0.0021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0.0310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0.0246</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0.0235</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0.0553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0.0479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0.1166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0.0505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0.0601</w:t>
            </w:r>
          </w:p>
        </w:tc>
      </w:tr>
    </w:tbl>
    <w:p>
      <w:pPr>
        <w:pStyle w:val="Normal"/>
        <w:rPr/>
      </w:pPr>
      <w:r>
        <w:rPr/>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bl>
    <w:p>
      <w:pPr>
        <w:pStyle w:val="BodyText"/>
        <w:rPr/>
      </w:pPr>
      <w:r>
        <w:rPr/>
        <w:t>Pruebas pareadas respecto a SensorTrust KF (diferencia = referencia − método; valores negativos favorecen a SensorTrust):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57"/>
        <w:gridCol w:w="1779"/>
        <w:gridCol w:w="687"/>
        <w:gridCol w:w="2008"/>
        <w:gridCol w:w="2260"/>
        <w:gridCol w:w="1140"/>
      </w:tblGrid>
      <w:tr>
        <w:trPr>
          <w:tblHeader w:val="true"/>
        </w:trPr>
        <w:tc>
          <w:tcPr>
            <w:tcW w:w="17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 comparado</w:t>
            </w:r>
          </w:p>
        </w:tc>
        <w:tc>
          <w:tcPr>
            <w:tcW w:w="177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Métrica</w:t>
            </w:r>
          </w:p>
        </w:tc>
        <w:tc>
          <w:tcPr>
            <w:tcW w:w="6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w:t>
            </w:r>
          </w:p>
        </w:tc>
        <w:tc>
          <w:tcPr>
            <w:tcW w:w="20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Mediana de la diferencia (ref. - método)</w:t>
            </w:r>
          </w:p>
        </w:tc>
        <w:tc>
          <w:tcPr>
            <w:tcW w:w="226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Fracción de corridas ganadas por la referencia</w:t>
            </w:r>
          </w:p>
        </w:tc>
        <w:tc>
          <w:tcPr>
            <w:tcW w:w="114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 (Wilcoxon, Holm)</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-0.0005</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0.93</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5.31e-16</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-0.1110</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-0.0009</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0.97</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1.60e-17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-0.0835</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-0.0009</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0.92</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1.38e-15</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-0.1536</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-0.0010</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9.76e-16</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-0.1348</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1.56e-17</w:t>
            </w:r>
          </w:p>
        </w:tc>
      </w:tr>
    </w:tbl>
    <w:p>
      <w:pPr>
        <w:pStyle w:val="CaptionedFigure"/>
        <w:jc w:val="center"/>
        <w:rPr/>
      </w:pPr>
      <w:r>
        <w:rPr/>
        <w:drawing>
          <wp:inline distT="0" distB="0" distL="0" distR="0">
            <wp:extent cx="5334000" cy="2844800"/>
            <wp:effectExtent l="0" t="0" r="0" b="0"/>
            <wp:docPr id="5" name="Image5" descr="Figura 5. Distribución Monte Carlo del 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Distribución Monte Carlo del RMSE"/>
                    <pic:cNvPicPr>
                      <a:picLocks noChangeAspect="1" noChangeArrowheads="1"/>
                    </pic:cNvPicPr>
                  </pic:nvPicPr>
                  <pic:blipFill>
                    <a:blip r:embed="rId6"/>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5. Distribución Monte Carlo del RMSE</w:t>
      </w:r>
    </w:p>
    <w:p>
      <w:pPr>
        <w:pStyle w:val="BodyText"/>
        <w:rPr/>
      </w:pPr>
      <w:r>
        <w:rPr/>
        <w:t xml:space="preserve">Estudio de ablación </w:t>
      </w:r>
      <w:r>
        <w:rPr>
          <w:rStyle w:val="VerbatimChar"/>
        </w:rPr>
        <w:t>montecarlo_ablation_moments</w:t>
      </w:r>
      <w:r>
        <w:rPr/>
        <w:t xml:space="preserve"> (100 corridas LHS de sesgo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 más factor de varianza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40</m:t>
        </m:r>
        <m:r>
          <w:rPr>
            <w:rFonts w:ascii="Cambria Math" w:hAnsi="Cambria Math"/>
          </w:rPr>
          <m:t xml:space="preserve">)</m:t>
        </m:r>
      </m:oMath>
      <w:r>
        <w:rPr/>
        <w: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61"/>
        <w:gridCol w:w="2110"/>
        <w:gridCol w:w="688"/>
        <w:gridCol w:w="796"/>
        <w:gridCol w:w="890"/>
        <w:gridCol w:w="797"/>
        <w:gridCol w:w="796"/>
        <w:gridCol w:w="797"/>
        <w:gridCol w:w="796"/>
      </w:tblGrid>
      <w:tr>
        <w:trPr>
          <w:tblHeader w:val="true"/>
        </w:trPr>
        <w:tc>
          <w:tcPr>
            <w:tcW w:w="196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1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Métrica</w:t>
            </w:r>
          </w:p>
        </w:tc>
        <w:tc>
          <w:tcPr>
            <w:tcW w:w="6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n</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Media</w:t>
            </w:r>
          </w:p>
        </w:tc>
        <w:tc>
          <w:tcPr>
            <w:tcW w:w="89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Mediana</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Desv.</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P95</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IC95 inf.</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IC95 sup.</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0.1355</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0.1356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0.0693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0.2467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0.1218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0.1493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0.1879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0.1885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0.0978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0.3443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0.1685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0.2073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0.0230</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0.0023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0.0290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0.0254</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0.0024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0.0250</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1.0228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0.7950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0.8997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2.0255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0.8443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1.2013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0.0230</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0.0303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0.6637</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0.4900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0.6090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1.4930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0.5429</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0.7845</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0.0225</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0.0266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0.5281</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0.4750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0.3063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0.8380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0.4673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0.5889</w:t>
            </w:r>
          </w:p>
        </w:tc>
      </w:tr>
    </w:tbl>
    <w:p>
      <w:pPr>
        <w:pStyle w:val="BodyText"/>
        <w:rPr/>
      </w:pPr>
      <w:r>
        <w:rPr/>
        <w:t>En este estudio, dominado por combinaciones de sesgo y ruido de magnitud moderada, las tres variantes de SensorTrust cumplen la especificación en todas las corridas; la variante de dos momentos obtiene la menor media y mediana del RMSE, con diferencias pequeñas respecto a las variantes de un solo momento. La contribución específica del segundo momento se aprecia con claridad en los casos de aumento puro de varianza (ST-BENCH-04), donde la media de la innovación permanece en cero.</w:t>
      </w:r>
    </w:p>
    <w:p>
      <w:pPr>
        <w:pStyle w:val="Heading2"/>
        <w:rPr/>
      </w:pPr>
      <w:bookmarkStart w:id="165" w:name="__RefHeading___Toc11152_1564873447"/>
      <w:bookmarkStart w:id="166" w:name="envolvente-de-robustez-1"/>
      <w:bookmarkEnd w:id="165"/>
      <w:r>
        <w:rPr/>
        <w:t>26.7 Envolvente de robustez</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12"/>
        <w:gridCol w:w="2208"/>
        <w:gridCol w:w="3612"/>
      </w:tblGrid>
      <w:tr>
        <w:trPr>
          <w:tblHeader w:val="true"/>
        </w:trPr>
        <w:tc>
          <w:tcPr>
            <w:tcW w:w="38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2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Sesgo tolerable b* [m]</w:t>
            </w:r>
          </w:p>
        </w:tc>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Límite alcanzado en el rango probado</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(todos los valores cumplen)</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ninguna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0.242</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(todos los valores cumplen)</w:t>
            </w:r>
          </w:p>
        </w:tc>
      </w:tr>
    </w:tbl>
    <w:p>
      <w:pPr>
        <w:pStyle w:val="CaptionedFigure"/>
        <w:jc w:val="center"/>
        <w:rPr/>
      </w:pPr>
      <w:r>
        <w:rPr/>
        <w:drawing>
          <wp:inline distT="0" distB="0" distL="0" distR="0">
            <wp:extent cx="5334000" cy="2844800"/>
            <wp:effectExtent l="0" t="0" r="0" b="0"/>
            <wp:docPr id="6" name="Image6" descr="Figura 6. Envolvente de robustez frente al sesgo abrupt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Envolvente de robustez frente al sesgo abrupto de S2"/>
                    <pic:cNvPicPr>
                      <a:picLocks noChangeAspect="1" noChangeArrowheads="1"/>
                    </pic:cNvPicPr>
                  </pic:nvPicPr>
                  <pic:blipFill>
                    <a:blip r:embed="rId7"/>
                    <a:stretch>
                      <a:fillRect/>
                    </a:stretch>
                  </pic:blipFill>
                  <pic:spPr bwMode="auto">
                    <a:xfrm>
                      <a:off x="0" y="0"/>
                      <a:ext cx="5334000" cy="2844800"/>
                    </a:xfrm>
                    <a:prstGeom prst="rect">
                      <a:avLst/>
                    </a:prstGeom>
                  </pic:spPr>
                </pic:pic>
              </a:graphicData>
            </a:graphic>
          </wp:inline>
        </w:drawing>
      </w:r>
    </w:p>
    <w:p>
      <w:pPr>
        <w:pStyle w:val="ImageCaption"/>
        <w:jc w:val="center"/>
        <w:rPr/>
      </w:pPr>
      <w:bookmarkStart w:id="167" w:name="envolvente-de-robustez-1"/>
      <w:r>
        <w:rPr>
          <w:i/>
          <w:sz w:val="18"/>
        </w:rPr>
        <w:t>Figura 6. Envolvente de robustez frente al sesgo abrupto de S2</w:t>
      </w:r>
      <w:bookmarkEnd w:id="167"/>
    </w:p>
    <w:p>
      <w:pPr>
        <w:pStyle w:val="Heading2"/>
        <w:rPr/>
      </w:pPr>
      <w:bookmarkStart w:id="168" w:name="__RefHeading___Toc11154_1564873447"/>
      <w:bookmarkStart w:id="169" w:name="barrido-paramétrico"/>
      <w:bookmarkEnd w:id="168"/>
      <w:r>
        <w:rPr/>
        <w:t>26.8 Barrido paramétrico</w:t>
      </w:r>
    </w:p>
    <w:p>
      <w:pPr>
        <w:pStyle w:val="CaptionedFigure"/>
        <w:jc w:val="center"/>
        <w:rPr/>
      </w:pPr>
      <w:r>
        <w:rPr/>
        <w:drawing>
          <wp:inline distT="0" distB="0" distL="0" distR="0">
            <wp:extent cx="5334000" cy="3911600"/>
            <wp:effectExtent l="0" t="0" r="0" b="0"/>
            <wp:docPr id="7" name="Image7" descr="Figura 7. RMSE medio de SensorTrust KF en función del sesgo y de la desviación del ruid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RMSE medio de SensorTrust KF en función del sesgo y de la desviación del ruido de S2"/>
                    <pic:cNvPicPr>
                      <a:picLocks noChangeAspect="1" noChangeArrowheads="1"/>
                    </pic:cNvPicPr>
                  </pic:nvPicPr>
                  <pic:blipFill>
                    <a:blip r:embed="rId8"/>
                    <a:stretch>
                      <a:fillRect/>
                    </a:stretch>
                  </pic:blipFill>
                  <pic:spPr bwMode="auto">
                    <a:xfrm>
                      <a:off x="0" y="0"/>
                      <a:ext cx="5334000" cy="3911600"/>
                    </a:xfrm>
                    <a:prstGeom prst="rect">
                      <a:avLst/>
                    </a:prstGeom>
                  </pic:spPr>
                </pic:pic>
              </a:graphicData>
            </a:graphic>
          </wp:inline>
        </w:drawing>
      </w:r>
    </w:p>
    <w:p>
      <w:pPr>
        <w:pStyle w:val="ImageCaption"/>
        <w:jc w:val="center"/>
        <w:rPr/>
      </w:pPr>
      <w:bookmarkStart w:id="170" w:name="barrido-paramétrico"/>
      <w:r>
        <w:rPr>
          <w:i/>
          <w:sz w:val="18"/>
        </w:rPr>
        <w:t>Figura 7. RMSE medio de SensorTrust KF en función del sesgo y de la desviación del ruido de S2</w:t>
      </w:r>
      <w:bookmarkEnd w:id="170"/>
    </w:p>
    <w:p>
      <w:pPr>
        <w:pStyle w:val="Heading2"/>
        <w:rPr/>
      </w:pPr>
      <w:bookmarkStart w:id="171" w:name="__RefHeading___Toc11156_1564873447"/>
      <w:bookmarkStart w:id="172" w:name="sensibilidad"/>
      <w:bookmarkEnd w:id="171"/>
      <w:r>
        <w:rPr/>
        <w:t>26.9 Sensibilidad</w:t>
      </w:r>
    </w:p>
    <w:p>
      <w:pPr>
        <w:pStyle w:val="FirstParagraph"/>
        <w:rPr/>
      </w:pPr>
      <w:r>
        <w:rPr/>
        <w:t xml:space="preserve">Se estudió qué parámetros explican el RMSE de SensorTrust KF bajo sesgo abrupto: magnitud del sesgo </w:t>
      </w:r>
      <w:r>
        <w:rPr/>
      </w:r>
      <m:oMath xmlns:m="http://schemas.openxmlformats.org/officeDocument/2006/math">
        <m:r>
          <w:rPr>
            <w:rFonts w:ascii="Cambria Math" w:hAnsi="Cambria Math"/>
          </w:rPr>
          <m:t xml:space="preserve">b</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e>
        </m:d>
      </m:oMath>
      <w:r>
        <w:rPr/>
        <w:t xml:space="preserve"> m, desviación del ruido de S2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m:t>
            </m:r>
          </m:e>
        </m:d>
      </m:oMath>
      <w:r>
        <w:rPr/>
        <w:t xml:space="preserve"> m, instante del fallo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5</m:t>
            </m:r>
            <m:r>
              <w:rPr>
                <w:rFonts w:ascii="Cambria Math" w:hAnsi="Cambria Math"/>
              </w:rPr>
              <m:t xml:space="preserve">;</m:t>
            </m:r>
            <m:r>
              <w:rPr>
                <w:rFonts w:ascii="Cambria Math" w:hAnsi="Cambria Math"/>
              </w:rPr>
              <m:t xml:space="preserve">25</m:t>
            </m:r>
          </m:e>
        </m:d>
      </m:oMath>
      <w:r>
        <w:rPr/>
        <w:t xml:space="preserve"> s,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995</m:t>
            </m:r>
          </m:e>
        </m:d>
      </m:oMath>
      <w:r>
        <w:rPr/>
        <w:t xml:space="preserve">, </w:t>
      </w:r>
      <w:r>
        <w:rPr/>
      </w:r>
      <m:oMath xmlns:m="http://schemas.openxmlformats.org/officeDocument/2006/math">
        <m:sSub>
          <m:e>
            <m:r>
              <w:rPr>
                <w:rFonts w:ascii="Cambria Math" w:hAnsi="Cambria Math"/>
              </w:rPr>
              <m:t xml:space="preserve">γ</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5</m:t>
            </m:r>
          </m:e>
        </m:d>
      </m:oMath>
      <w:r>
        <w:rPr/>
        <w:t xml:space="preserve"> y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e>
        </m:d>
      </m:oMath>
      <w:r>
        <w:rPr/>
        <w:t xml:space="preserve"> (semilla común). Índices de Morris de </w:t>
      </w:r>
      <w:r>
        <w:rPr/>
      </w:r>
      <m:oMath xmlns:m="http://schemas.openxmlformats.org/officeDocument/2006/math">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oMath>
      <w:r>
        <w:rPr/>
        <w:t xml:space="preserve"> (20 trayectorias; parámetro más influyente: S2 noise std [m]; segundo: bias b [m]):</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70"/>
        <w:gridCol w:w="1710"/>
        <w:gridCol w:w="1711"/>
        <w:gridCol w:w="1530"/>
        <w:gridCol w:w="2611"/>
      </w:tblGrid>
      <w:tr>
        <w:trPr>
          <w:tblHeader w:val="true"/>
        </w:trPr>
        <w:tc>
          <w:tcPr>
            <w:tcW w:w="207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Parámetro</w:t>
            </w:r>
          </w:p>
        </w:tc>
        <w:tc>
          <w:tcPr>
            <w:tcW w:w="17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mu</w:t>
            </w:r>
          </w:p>
        </w:tc>
        <w:tc>
          <w:tcPr>
            <w:tcW w:w="17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mu_star</w:t>
            </w:r>
          </w:p>
        </w:tc>
        <w:tc>
          <w:tcPr>
            <w:tcW w:w="153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sigma</w:t>
            </w:r>
          </w:p>
        </w:tc>
        <w:tc>
          <w:tcPr>
            <w:tcW w:w="26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mu_star_conf</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S2 noise std [m]</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-0.0515</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0.1550</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0.2388</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0.0772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bias b [m]</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-0.1107</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0.1122</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0.1514</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0.0631</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trust scale beta1</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0.0309</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0.0501</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0.0944</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0.0362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fault onset [s]</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-0.0337</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0.0337</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0.0395</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0.0192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EWMA lambda</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-0.0129</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0.0130</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0.0279</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0.0119</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dead zone gamma1</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0.0036</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0.0054</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0.0135</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0.0056</w:t>
            </w:r>
          </w:p>
        </w:tc>
      </w:tr>
    </w:tbl>
    <w:p>
      <w:pPr>
        <w:pStyle w:val="BodyText"/>
        <w:rPr/>
      </w:pPr>
      <w:r>
        <w:rPr/>
        <w:t xml:space="preserve">Índices de Sobol de </w:t>
      </w:r>
      <w:r>
        <w:rPr/>
      </w:r>
      <m:oMath xmlns:m="http://schemas.openxmlformats.org/officeDocument/2006/math">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oMath>
      <w:r>
        <w:rPr/>
        <w:t xml:space="preserve"> (N = 256, 2048 evaluaciones; la transformación logarítmica evita que unos pocos valores grandes dominen la descomposición de la varianza; parámetro con mayor índice total: bias b [m]):</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283"/>
        <w:gridCol w:w="1887"/>
        <w:gridCol w:w="1886"/>
        <w:gridCol w:w="1689"/>
        <w:gridCol w:w="1887"/>
      </w:tblGrid>
      <w:tr>
        <w:trPr>
          <w:tblHeader w:val="true"/>
        </w:trPr>
        <w:tc>
          <w:tcPr>
            <w:tcW w:w="228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Parámetro</w:t>
            </w:r>
          </w:p>
        </w:tc>
        <w:tc>
          <w:tcPr>
            <w:tcW w:w="18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S1</w:t>
            </w:r>
          </w:p>
        </w:tc>
        <w:tc>
          <w:tcPr>
            <w:tcW w:w="188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S1_conf</w:t>
            </w:r>
          </w:p>
        </w:tc>
        <w:tc>
          <w:tcPr>
            <w:tcW w:w="16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ST</w:t>
            </w:r>
          </w:p>
        </w:tc>
        <w:tc>
          <w:tcPr>
            <w:tcW w:w="18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ST_conf</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bias b [m]</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0.3990</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0.1943</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0.9183</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0.5974</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S2 noise std [m]</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0.0704</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0.1415</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0.6624</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0.4120</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trust scale beta1</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0.1780</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0.1619</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0.4290</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0.2957</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fault onset [s]</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0.0596</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0.0441</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0.0879</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0.0375</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EWMA lambda</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0.0067</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0.0163</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0.0603</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0.0847</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dead zone gamma1</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-0.0041</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0.0401</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0.0245</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0.0100</w:t>
            </w:r>
          </w:p>
        </w:tc>
      </w:tr>
    </w:tbl>
    <w:p>
      <w:pPr>
        <w:pStyle w:val="BodyText"/>
        <w:rPr/>
      </w:pPr>
      <w:r>
        <w:rPr/>
        <w:t xml:space="preserve">Durante una primera ejecución de este estudio, una muestra con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oMath>
      <w:r>
        <w:rPr/>
        <w:t xml:space="preserve"> (confianza extremadamente agresiva) produjo un RMSE de 0,24 m: el ruido redujo momentáneamente la confianza de los sensores sanos justo en el instante del fallo y el sensor defectuoso quedó como única referencia del consenso. El análisis de sensibilidad permitió identificar y corregir este mecanismo (ventana de memoria del consenso, capítulo 10.1). Todos los resultados de este documento se obtuvieron con la versión corregida. Con la versión final, 7 de las 2048 evaluaciones de Sobol superan la especificación de 0,05 m (máximo 0.082 m); corresponden a fallos marginales (sesgos del orden de la desviación del ruido de S2) combinados con memoria corta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90</m:t>
        </m:r>
      </m:oMath>
      <w:r>
        <w:rPr/>
        <w:t xml:space="preserve">) y escalas de confianza agresivas, en los que la confianza puede converger a un equilibrio incorrecto (capítulo 29). Morris y Sobol identifican el mismo conjunto de tres parámetros más influyentes (magnitud del sesgo, desviación del ruido de S2 y escala de confianza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con el orden de los dos primeros intercambiado; los intervalos de confianza de los índices de Sobol son amplios con N = 256, por lo que su orden relativo fino no debe sobreinterpretarse. Los parámetros </w:t>
      </w:r>
      <w:r>
        <w:rPr/>
      </w:r>
      <m:oMath xmlns:m="http://schemas.openxmlformats.org/officeDocument/2006/math">
        <m:r>
          <w:rPr>
            <w:rFonts w:ascii="Cambria Math" w:hAnsi="Cambria Math"/>
          </w:rPr>
          <m:t xml:space="preserve">λ</m:t>
        </m:r>
      </m:oMath>
      <w:r>
        <w:rPr/>
        <w:t xml:space="preserve"> y </w:t>
      </w:r>
      <w:r>
        <w:rPr/>
      </w:r>
      <m:oMath xmlns:m="http://schemas.openxmlformats.org/officeDocument/2006/math">
        <m:sSub>
          <m:e>
            <m:r>
              <w:rPr>
                <w:rFonts w:ascii="Cambria Math" w:hAnsi="Cambria Math"/>
              </w:rPr>
              <m:t xml:space="preserve">γ</m:t>
            </m:r>
          </m:e>
          <m:sub>
            <m:r>
              <w:rPr>
                <w:rFonts w:ascii="Cambria Math" w:hAnsi="Cambria Math"/>
              </w:rPr>
              <m:t xml:space="preserve">1</m:t>
            </m:r>
          </m:sub>
        </m:sSub>
      </m:oMath>
      <w:r>
        <w:rPr/>
        <w:t xml:space="preserve"> tienen efectos pequeños en los rangos estudiados.</w:t>
      </w:r>
    </w:p>
    <w:p>
      <w:pPr>
        <w:pStyle w:val="CaptionedFigure"/>
        <w:jc w:val="center"/>
        <w:rPr/>
      </w:pPr>
      <w:r>
        <w:rPr/>
        <w:drawing>
          <wp:inline distT="0" distB="0" distL="0" distR="0">
            <wp:extent cx="5334000" cy="2844800"/>
            <wp:effectExtent l="0" t="0" r="0" b="0"/>
            <wp:docPr id="8" name="Image8" descr="Figura 8. Índices de Sobol de primer orden y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Índices de Sobol de primer orden y totales"/>
                    <pic:cNvPicPr>
                      <a:picLocks noChangeAspect="1" noChangeArrowheads="1"/>
                    </pic:cNvPicPr>
                  </pic:nvPicPr>
                  <pic:blipFill>
                    <a:blip r:embed="rId9"/>
                    <a:stretch>
                      <a:fillRect/>
                    </a:stretch>
                  </pic:blipFill>
                  <pic:spPr bwMode="auto">
                    <a:xfrm>
                      <a:off x="0" y="0"/>
                      <a:ext cx="5334000" cy="2844800"/>
                    </a:xfrm>
                    <a:prstGeom prst="rect">
                      <a:avLst/>
                    </a:prstGeom>
                  </pic:spPr>
                </pic:pic>
              </a:graphicData>
            </a:graphic>
          </wp:inline>
        </w:drawing>
      </w:r>
    </w:p>
    <w:p>
      <w:pPr>
        <w:pStyle w:val="ImageCaption"/>
        <w:jc w:val="center"/>
        <w:rPr/>
      </w:pPr>
      <w:bookmarkStart w:id="173" w:name="sensibilidad"/>
      <w:r>
        <w:rPr>
          <w:i/>
          <w:sz w:val="18"/>
        </w:rPr>
        <w:t>Figura 8. Índices de Sobol de primer orden y totales</w:t>
      </w:r>
      <w:bookmarkEnd w:id="173"/>
    </w:p>
    <w:p>
      <w:pPr>
        <w:pStyle w:val="Heading2"/>
        <w:rPr/>
      </w:pPr>
      <w:bookmarkStart w:id="174" w:name="__RefHeading___Toc11158_1564873447"/>
      <w:bookmarkStart w:id="175" w:name="revisión-final"/>
      <w:bookmarkEnd w:id="174"/>
      <w:r>
        <w:rPr/>
        <w:t>26.10 Revisión final</w:t>
      </w:r>
    </w:p>
    <w:p>
      <w:pPr>
        <w:pStyle w:val="FirstParagraph"/>
        <w:rPr/>
      </w:pPr>
      <w:r>
        <w:rPr/>
        <w:t xml:space="preserve">Antes de publicar la versión 1.0.0 se revisaron explícitamente: dimensionalidad de matrices y vectores (validación en </w:t>
      </w:r>
      <w:r>
        <w:rPr>
          <w:rStyle w:val="VerbatimChar"/>
        </w:rPr>
        <w:t>normalize_config</w:t>
      </w:r>
      <w:r>
        <w:rPr/>
        <w:t xml:space="preserve">, </w:t>
      </w:r>
      <w:r>
        <w:rPr>
          <w:rStyle w:val="VerbatimChar"/>
        </w:rPr>
        <w:t>VirtualSensor</w:t>
      </w:r>
      <w:r>
        <w:rPr/>
        <w:t xml:space="preserve"> y filtros); ecuaciones (correspondencia código–documento); estadísticas (divisores, intervalos, pruebas); normalizaciones (innovación estandarizada con </w:t>
      </w:r>
      <w:r>
        <w:rPr/>
      </w:r>
      <m:oMath xmlns:m="http://schemas.openxmlformats.org/officeDocument/2006/math">
        <m:r>
          <w:rPr>
            <w:rFonts w:ascii="Cambria Math" w:hAnsi="Cambria Math"/>
          </w:rPr>
          <m:t xml:space="preserve">R</m:t>
        </m:r>
      </m:oMath>
      <w:r>
        <w:rPr/>
        <w:t xml:space="preserve"> nominal, pesos que suman 1); semillas; métricas (definiciones y fases); implementación del filtro (Riccati, Joseph, consistencia); interpretación de momentos (segundo momento vs. varianza vs. RMS vs. energía); pesos; escenarios y resultados. Las correcciones derivadas de esta revisión (compuerta de innovación, referencia de consenso, prueba de dispersión chi-cuadrado) están documentadas en los capítulos 10, 12 y 15.</w:t>
      </w:r>
      <w:bookmarkEnd w:id="153"/>
      <w:bookmarkEnd w:id="175"/>
    </w:p>
    <w:p>
      <w:pPr>
        <w:pStyle w:val="Heading1"/>
        <w:rPr/>
      </w:pPr>
      <w:bookmarkStart w:id="176" w:name="__RefHeading___Toc11160_1564873447"/>
      <w:bookmarkStart w:id="177" w:name="instalación"/>
      <w:bookmarkEnd w:id="176"/>
      <w:r>
        <w:rPr/>
        <w:t>27. Instalación</w:t>
      </w:r>
    </w:p>
    <w:p>
      <w:pPr>
        <w:pStyle w:val="FirstParagraph"/>
        <w:rPr/>
      </w:pPr>
      <w:r>
        <w:rPr/>
        <w:t>Requisitos: Python 3.10 o superior (probado con 3.11), sistema Windows, Linux o macOS. En un entorno limpio:</w:t>
      </w:r>
    </w:p>
    <w:p>
      <w:pPr>
        <w:pStyle w:val="SourceCode"/>
        <w:rPr/>
      </w:pPr>
      <w:r>
        <w:rPr>
          <w:rStyle w:val="VerbatimChar"/>
        </w:rPr>
        <w:t>python -m venv .venv</w:t>
      </w:r>
      <w:r>
        <w:rPr/>
        <w:br/>
      </w:r>
      <w:r>
        <w:rPr>
          <w:rStyle w:val="VerbatimChar"/>
        </w:rPr>
        <w:t>.venv\Scripts\activate          (Windows)</w:t>
      </w:r>
      <w:r>
        <w:rPr/>
        <w:br/>
      </w:r>
      <w:r>
        <w:rPr>
          <w:rStyle w:val="VerbatimChar"/>
        </w:rPr>
        <w:t>source .venv/bin/activate       (Linux / macOS)</w:t>
      </w:r>
      <w:r>
        <w:rPr/>
        <w:br/>
      </w:r>
      <w:r>
        <w:rPr>
          <w:rStyle w:val="VerbatimChar"/>
        </w:rPr>
        <w:t>pip install -r requirements.txt</w:t>
      </w:r>
      <w:r>
        <w:rPr/>
        <w:br/>
      </w:r>
      <w:r>
        <w:rPr>
          <w:rStyle w:val="VerbatimChar"/>
        </w:rPr>
        <w:t>pip install -e .</w:t>
      </w:r>
    </w:p>
    <w:p>
      <w:pPr>
        <w:pStyle w:val="FirstParagraph"/>
        <w:rPr/>
      </w:pPr>
      <w:r>
        <w:rPr/>
        <w:t xml:space="preserve">Dependencias: NumPy, SciPy, pandas, Matplotlib, PyYAML, SALib y PySide6. Alternativamente, en Windows puede usarse el ejecutable </w:t>
      </w:r>
      <w:r>
        <w:rPr>
          <w:rStyle w:val="VerbatimChar"/>
        </w:rPr>
        <w:t>SensorTrustFusion-1.0.0-win64.exe</w:t>
      </w:r>
      <w:r>
        <w:rPr/>
        <w:t xml:space="preserve"> publicado en la sección </w:t>
      </w:r>
      <w:r>
        <w:rPr>
          <w:i/>
          <w:iCs/>
        </w:rPr>
        <w:t>Releases</w:t>
      </w:r>
      <w:r>
        <w:rPr/>
        <w:t xml:space="preserve"> del repositorio, que no requiere instalar Python. El ejecutable se compila con PyInstaller en GitHub Actions a partir del código fuente del repositorio. En Linux sin entorno gráfico completo, Qt puede requerir las bibliotecas del sistema </w:t>
      </w:r>
      <w:r>
        <w:rPr>
          <w:rStyle w:val="VerbatimChar"/>
        </w:rPr>
        <w:t>libegl1</w:t>
      </w:r>
      <w:r>
        <w:rPr/>
        <w:t xml:space="preserve">, </w:t>
      </w:r>
      <w:r>
        <w:rPr>
          <w:rStyle w:val="VerbatimChar"/>
        </w:rPr>
        <w:t>libgl1</w:t>
      </w:r>
      <w:r>
        <w:rPr/>
        <w:t xml:space="preserve">, </w:t>
      </w:r>
      <w:r>
        <w:rPr>
          <w:rStyle w:val="VerbatimChar"/>
        </w:rPr>
        <w:t>libxkbcommon0</w:t>
      </w:r>
      <w:r>
        <w:rPr/>
        <w:t xml:space="preserve"> y </w:t>
      </w:r>
      <w:r>
        <w:rPr>
          <w:rStyle w:val="VerbatimChar"/>
        </w:rPr>
        <w:t>libfontconfig1</w:t>
      </w:r>
      <w:r>
        <w:rPr/>
        <w:t>.</w:t>
      </w:r>
      <w:bookmarkEnd w:id="177"/>
    </w:p>
    <w:p>
      <w:pPr>
        <w:pStyle w:val="Heading1"/>
        <w:rPr/>
      </w:pPr>
      <w:bookmarkStart w:id="178" w:name="__RefHeading___Toc11162_1564873447"/>
      <w:bookmarkStart w:id="179" w:name="ejecución"/>
      <w:bookmarkEnd w:id="178"/>
      <w:r>
        <w:rPr/>
        <w:t>28. Ejecución</w:t>
      </w:r>
    </w:p>
    <w:p>
      <w:pPr>
        <w:pStyle w:val="FirstParagraph"/>
        <w:rPr/>
      </w:pPr>
      <w:r>
        <w:rPr/>
        <w:t>Interfaz gráfica (en inglés o en español):</w:t>
      </w:r>
    </w:p>
    <w:p>
      <w:pPr>
        <w:pStyle w:val="SourceCode"/>
        <w:rPr/>
      </w:pPr>
      <w:r>
        <w:rPr>
          <w:rStyle w:val="VerbatimChar"/>
        </w:rPr>
        <w:t>python -m sensortrust</w:t>
      </w:r>
      <w:r>
        <w:rPr/>
        <w:br/>
      </w:r>
      <w:r>
        <w:rPr>
          <w:rStyle w:val="VerbatimChar"/>
        </w:rPr>
        <w:t>python -m sensortrust gui --lang es</w:t>
      </w:r>
    </w:p>
    <w:p>
      <w:pPr>
        <w:pStyle w:val="FirstParagraph"/>
        <w:rPr/>
      </w:pPr>
      <w:r>
        <w:rPr/>
        <w:t>Línea de comandos:</w:t>
      </w:r>
    </w:p>
    <w:p>
      <w:pPr>
        <w:pStyle w:val="SourceCode"/>
        <w:rPr/>
      </w:pPr>
      <w:r>
        <w:rPr>
          <w:rStyle w:val="VerbatimChar"/>
        </w:rPr>
        <w:t>python -m sensortrust run configs/abrupt_bias.yaml</w:t>
      </w:r>
      <w:r>
        <w:rPr/>
        <w:br/>
      </w:r>
      <w:r>
        <w:rPr>
          <w:rStyle w:val="VerbatimChar"/>
        </w:rPr>
        <w:t>python -m sensortrust benchmark all</w:t>
      </w:r>
      <w:r>
        <w:rPr/>
        <w:br/>
      </w:r>
      <w:r>
        <w:rPr>
          <w:rStyle w:val="VerbatimChar"/>
        </w:rPr>
        <w:t>python -m sensortrust montecarlo configs/montecarlo_abrupt_bias.yaml</w:t>
      </w:r>
      <w:r>
        <w:rPr/>
        <w:br/>
      </w:r>
      <w:r>
        <w:rPr>
          <w:rStyle w:val="VerbatimChar"/>
        </w:rPr>
        <w:t>python -m sensortrust robustness configs/robustness_abrupt_bias.yaml</w:t>
      </w:r>
      <w:r>
        <w:rPr/>
        <w:br/>
      </w:r>
      <w:r>
        <w:rPr>
          <w:rStyle w:val="VerbatimChar"/>
        </w:rPr>
        <w:t>python -m sensortrust sweep configs/sweep_bias_sigma.yaml</w:t>
      </w:r>
      <w:r>
        <w:rPr/>
        <w:br/>
      </w:r>
      <w:r>
        <w:rPr>
          <w:rStyle w:val="VerbatimChar"/>
        </w:rPr>
        <w:t>python -m sensortrust sensitivity configs/sensitivity_morris.yaml</w:t>
      </w:r>
      <w:r>
        <w:rPr/>
        <w:br/>
      </w:r>
      <w:r>
        <w:rPr>
          <w:rStyle w:val="VerbatimChar"/>
        </w:rPr>
        <w:t>python -m sensortrust generate-dataset configs/nominal.yaml -o datasets</w:t>
      </w:r>
      <w:r>
        <w:rPr/>
        <w:br/>
      </w:r>
      <w:r>
        <w:rPr>
          <w:rStyle w:val="VerbatimChar"/>
        </w:rPr>
        <w:t>python -m sensortrust import-dataset config.yaml datos.csv --sensor S1=c1 --sensor S2=c2</w:t>
      </w:r>
      <w:r>
        <w:rPr/>
        <w:br/>
      </w:r>
      <w:r>
        <w:rPr>
          <w:rStyle w:val="VerbatimChar"/>
        </w:rPr>
        <w:t>python -m sensortrust verify results/ST_EXP_2026_000001</w:t>
      </w:r>
      <w:r>
        <w:rPr/>
        <w:br/>
      </w:r>
      <w:r>
        <w:rPr>
          <w:rStyle w:val="VerbatimChar"/>
        </w:rPr>
        <w:t>python -m sensortrust list</w:t>
      </w:r>
    </w:p>
    <w:p>
      <w:pPr>
        <w:pStyle w:val="FirstParagraph"/>
        <w:rPr/>
      </w:pPr>
      <w:r>
        <w:rPr/>
        <w:t>Uso desde Python:</w:t>
      </w:r>
    </w:p>
    <w:p>
      <w:pPr>
        <w:pStyle w:val="SourceCode"/>
        <w:rPr/>
      </w:pPr>
      <w:r>
        <w:rPr>
          <w:rStyle w:val="ImportTok"/>
        </w:rPr>
        <w:t>from</w:t>
      </w:r>
      <w:r>
        <w:rPr>
          <w:rStyle w:val="NormalTok"/>
        </w:rPr>
        <w:t xml:space="preserve"> sensortrust.experiments </w:t>
      </w:r>
      <w:r>
        <w:rPr>
          <w:rStyle w:val="ImportTok"/>
        </w:rPr>
        <w:t>import</w:t>
      </w:r>
      <w:r>
        <w:rPr>
          <w:rStyle w:val="NormalTok"/>
        </w:rPr>
        <w:t xml:space="preserve"> ExperimentManager, get_benchmark</w:t>
      </w:r>
      <w:r>
        <w:rPr/>
        <w:br/>
      </w:r>
      <w:r>
        <w:rPr>
          <w:rStyle w:val="NormalTok"/>
        </w:rPr>
        <w:t xml:space="preserve">result </w:t>
      </w:r>
      <w:r>
        <w:rPr>
          <w:rStyle w:val="OperatorTok"/>
        </w:rPr>
        <w:t>=</w:t>
      </w:r>
      <w:r>
        <w:rPr>
          <w:rStyle w:val="NormalTok"/>
        </w:rPr>
        <w:t xml:space="preserve"> ExperimentManager(</w:t>
      </w:r>
      <w:r>
        <w:rPr>
          <w:rStyle w:val="StringTok"/>
        </w:rPr>
        <w:t>"results"</w:t>
      </w:r>
      <w:r>
        <w:rPr>
          <w:rStyle w:val="NormalTok"/>
        </w:rPr>
        <w:t>).run(get_benchmark(</w:t>
      </w:r>
      <w:r>
        <w:rPr>
          <w:rStyle w:val="StringTok"/>
        </w:rPr>
        <w:t>"ST-BENCH-02"</w:t>
      </w:r>
      <w:r>
        <w:rPr>
          <w:rStyle w:val="NormalTok"/>
        </w:rPr>
        <w:t>))</w:t>
      </w:r>
      <w:r>
        <w:rPr/>
        <w:br/>
      </w:r>
      <w:r>
        <w:rPr>
          <w:rStyle w:val="BuiltInTok"/>
        </w:rPr>
        <w:t>print</w:t>
      </w:r>
      <w:r>
        <w:rPr>
          <w:rStyle w:val="NormalTok"/>
        </w:rPr>
        <w:t>(result.table[[</w:t>
      </w:r>
      <w:r>
        <w:rPr>
          <w:rStyle w:val="StringTok"/>
        </w:rPr>
        <w:t>"method"</w:t>
      </w:r>
      <w:r>
        <w:rPr>
          <w:rStyle w:val="NormalTok"/>
        </w:rPr>
        <w:t xml:space="preserve">, </w:t>
      </w:r>
      <w:r>
        <w:rPr>
          <w:rStyle w:val="StringTok"/>
        </w:rPr>
        <w:t>"rmse"</w:t>
      </w:r>
      <w:r>
        <w:rPr>
          <w:rStyle w:val="NormalTok"/>
        </w:rPr>
        <w:t xml:space="preserve">, </w:t>
      </w:r>
      <w:r>
        <w:rPr>
          <w:rStyle w:val="StringTok"/>
        </w:rPr>
        <w:t>"mean_detection_delay"</w:t>
      </w:r>
      <w:r>
        <w:rPr>
          <w:rStyle w:val="NormalTok"/>
        </w:rPr>
        <w:t>]])</w:t>
      </w:r>
    </w:p>
    <w:p>
      <w:pPr>
        <w:pStyle w:val="FirstParagraph"/>
        <w:rPr/>
      </w:pPr>
      <w:bookmarkStart w:id="180" w:name="ejecución"/>
      <w:r>
        <w:rPr/>
        <w:t>Todas las funciones principales operan sin conexión a Internet una vez instaladas las dependencias.</w:t>
      </w:r>
      <w:bookmarkEnd w:id="180"/>
    </w:p>
    <w:p>
      <w:pPr>
        <w:pStyle w:val="Heading1"/>
        <w:rPr/>
      </w:pPr>
      <w:bookmarkStart w:id="181" w:name="__RefHeading___Toc11164_1564873447"/>
      <w:bookmarkStart w:id="182" w:name="limitaciones"/>
      <w:bookmarkEnd w:id="181"/>
      <w:r>
        <w:rPr/>
        <w:t>29. Limitaciones</w:t>
      </w:r>
    </w:p>
    <w:p>
      <w:pPr>
        <w:pStyle w:val="Compact"/>
        <w:numPr>
          <w:ilvl w:val="0"/>
          <w:numId w:val="30"/>
        </w:numPr>
        <w:rPr/>
      </w:pPr>
      <w:r>
        <w:rPr/>
        <w:t>La función que transforma los excesos de los momentos en confianza (exponencial con zonas muertas estadísticas) es una elección de diseño; otras funciones de mapeo son posibles y no se compararon sistemáticamente en esta versión.</w:t>
      </w:r>
    </w:p>
    <w:p>
      <w:pPr>
        <w:pStyle w:val="Compact"/>
        <w:numPr>
          <w:ilvl w:val="0"/>
          <w:numId w:val="31"/>
        </w:numPr>
        <w:rPr/>
      </w:pPr>
      <w:r>
        <w:rPr/>
        <w:t>Los fallos que no alteran la innovación (pérdida de muestras, sesgos comunes a todos los sensores de un grupo) no son identificables por la confianza basada en innovación; la referencia de consenso requiere al menos tres sensores redundantes y una mayoría sana, y con dos sensores un desacuerdo no puede atribuirse.</w:t>
      </w:r>
    </w:p>
    <w:p>
      <w:pPr>
        <w:pStyle w:val="Compact"/>
        <w:numPr>
          <w:ilvl w:val="0"/>
          <w:numId w:val="32"/>
        </w:numPr>
        <w:rPr/>
      </w:pPr>
      <w:r>
        <w:rPr/>
        <w:t>Para fallos marginales (magnitud del orden de la desviación del ruido del sensor) combinados con memoria corta del estimador de momentos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m:t>
        </m:r>
      </m:oMath>
      <w:r>
        <w:rPr/>
        <w:t>) y escalas de confianza agresivas, la dinámica de confianza puede converger a un equilibrio incorrecto en el que un sensor sano pierde confianza (observado en pocas evaluaciones del análisis de Sobol, sección 26.9).</w:t>
      </w:r>
    </w:p>
    <w:p>
      <w:pPr>
        <w:pStyle w:val="Compact"/>
        <w:numPr>
          <w:ilvl w:val="0"/>
          <w:numId w:val="33"/>
        </w:numPr>
        <w:rPr/>
      </w:pPr>
      <w:r>
        <w:rPr/>
        <w:t>Ante aumentos de varianza muy grandes, la varianza del estimador de la media puede superar la zona muerta y reducir también el término del primer momento (efecto documentado en las pruebas).</w:t>
      </w:r>
    </w:p>
    <w:p>
      <w:pPr>
        <w:pStyle w:val="Compact"/>
        <w:numPr>
          <w:ilvl w:val="0"/>
          <w:numId w:val="34"/>
        </w:numPr>
        <w:rPr/>
      </w:pPr>
      <w:r>
        <w:rPr/>
        <w:t>Los parámetros por defecto del estimador (</w:t>
      </w:r>
      <w:r>
        <w:rPr/>
      </w:r>
      <m:oMath xmlns:m="http://schemas.openxmlformats.org/officeDocument/2006/math">
        <m:r>
          <w:rPr>
            <w:rFonts w:ascii="Cambria Math" w:hAnsi="Cambria Math"/>
          </w:rPr>
          <m:t xml:space="preserve">λ</m:t>
        </m:r>
      </m:oMath>
      <w:r>
        <w:rPr/>
        <w:t xml:space="preserve">,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β</m:t>
        </m:r>
      </m:oMath>
      <w:r>
        <w:rPr/>
        <w:t xml:space="preserve">, </w:t>
      </w:r>
      <w:r>
        <w:rPr/>
      </w:r>
      <m:oMath xmlns:m="http://schemas.openxmlformats.org/officeDocument/2006/math">
        <m:r>
          <w:rPr>
            <w:rFonts w:ascii="Cambria Math" w:hAnsi="Cambria Math"/>
          </w:rPr>
          <m:t xml:space="preserve">η</m:t>
        </m:r>
      </m:oMath>
      <w:r>
        <w:rPr/>
        <w:t>) no se optimizaron; el análisis de sensibilidad permite estudiarlos.</w:t>
      </w:r>
    </w:p>
    <w:p>
      <w:pPr>
        <w:pStyle w:val="Compact"/>
        <w:numPr>
          <w:ilvl w:val="0"/>
          <w:numId w:val="35"/>
        </w:numPr>
        <w:rPr/>
      </w:pPr>
      <w:r>
        <w:rPr/>
        <w:t>La fusión a nivel de estimaciones usa Intersección de Covarianzas (conservadora); no se implementan arquitecturas distribuidas con comunicación.</w:t>
      </w:r>
    </w:p>
    <w:p>
      <w:pPr>
        <w:pStyle w:val="Compact"/>
        <w:numPr>
          <w:ilvl w:val="0"/>
          <w:numId w:val="36"/>
        </w:numPr>
        <w:rPr/>
      </w:pPr>
      <w:r>
        <w:rPr/>
        <w:t>El EKF usa jacobianos por diferencias finitas en el péndulo; el UKF usa parámetros fijos por defecto.</w:t>
      </w:r>
    </w:p>
    <w:p>
      <w:pPr>
        <w:pStyle w:val="Compact"/>
        <w:numPr>
          <w:ilvl w:val="0"/>
          <w:numId w:val="37"/>
        </w:numPr>
        <w:rPr/>
      </w:pPr>
      <w:r>
        <w:rPr/>
        <w:t>El retardo de los sensores se simula pero los estimadores no lo compensan.</w:t>
      </w:r>
    </w:p>
    <w:p>
      <w:pPr>
        <w:pStyle w:val="Compact"/>
        <w:numPr>
          <w:ilvl w:val="0"/>
          <w:numId w:val="38"/>
        </w:numPr>
        <w:rPr/>
      </w:pPr>
      <w:r>
        <w:rPr/>
        <w:t>Las métricas de detección por muestra dependen de la convención de etiquetado (episodio de fallo); en fallos intermitentes la histéresis del detector genera falsos positivos en los intervalos apagados.</w:t>
      </w:r>
    </w:p>
    <w:p>
      <w:pPr>
        <w:pStyle w:val="Compact"/>
        <w:numPr>
          <w:ilvl w:val="0"/>
          <w:numId w:val="39"/>
        </w:numPr>
        <w:rPr/>
      </w:pPr>
      <w:bookmarkStart w:id="183" w:name="limitaciones"/>
      <w:r>
        <w:rPr/>
        <w:t>La ejecución es en tiempo de simulación (no en tiempo real) y la velocidad depende del número de sensores y métodos (del orden de 1 s por método para 6000 muestras y tres sensores en un computador convencional).</w:t>
      </w:r>
      <w:bookmarkEnd w:id="183"/>
    </w:p>
    <w:p>
      <w:pPr>
        <w:pStyle w:val="Heading1"/>
        <w:rPr/>
      </w:pPr>
      <w:bookmarkStart w:id="184" w:name="__RefHeading___Toc11166_1564873447"/>
      <w:bookmarkStart w:id="185" w:name="glosario"/>
      <w:bookmarkEnd w:id="184"/>
      <w:r>
        <w:rPr/>
        <w:t>Glosario</w:t>
      </w:r>
    </w:p>
    <w:p>
      <w:pPr>
        <w:pStyle w:val="FirstParagraph"/>
        <w:rPr/>
      </w:pPr>
      <w:r>
        <w:rPr>
          <w:b/>
          <w:bCs/>
        </w:rPr>
        <w:t>Innovación:</w:t>
      </w:r>
      <w:r>
        <w:rPr/>
        <w:t xml:space="preserve"> diferencia entre la medición y su predicción. </w:t>
      </w:r>
      <w:r>
        <w:rPr>
          <w:b/>
          <w:bCs/>
        </w:rPr>
        <w:t>NIS / NEES:</w:t>
      </w:r>
      <w:r>
        <w:rPr/>
        <w:t xml:space="preserve"> errores cuadráticos normalizados de innovación y de estimación. </w:t>
      </w:r>
      <w:r>
        <w:rPr>
          <w:b/>
          <w:bCs/>
        </w:rPr>
        <w:t>Oráculo:</w:t>
      </w:r>
      <w:r>
        <w:rPr/>
        <w:t xml:space="preserve"> método de referencia que usa información verdadera no disponible en la práctica. </w:t>
      </w:r>
      <w:r>
        <w:rPr>
          <w:b/>
          <w:bCs/>
        </w:rPr>
        <w:t>Gemelo nominal:</w:t>
      </w:r>
      <w:r>
        <w:rPr/>
        <w:t xml:space="preserve"> mismo escenario sin degradaciones. </w:t>
      </w:r>
      <w:r>
        <w:rPr>
          <w:b/>
          <w:bCs/>
        </w:rPr>
        <w:t>Semilla:</w:t>
      </w:r>
      <w:r>
        <w:rPr/>
        <w:t xml:space="preserve"> entero que determina todas las realizaciones aleatorias. </w:t>
      </w:r>
      <w:r>
        <w:rPr>
          <w:b/>
          <w:bCs/>
        </w:rPr>
        <w:t>Huella (fingerprint):</w:t>
      </w:r>
      <w:r>
        <w:rPr/>
        <w:t xml:space="preserve"> SHA-256 de los datos de un escenario. </w:t>
      </w:r>
      <w:r>
        <w:rPr>
          <w:b/>
          <w:bCs/>
        </w:rPr>
        <w:t>Benchmark:</w:t>
      </w:r>
      <w:r>
        <w:rPr/>
        <w:t xml:space="preserve"> experimento de referencia con configuración y semilla fijas.</w:t>
      </w:r>
      <w:bookmarkEnd w:id="185"/>
    </w:p>
    <w:p>
      <w:pPr>
        <w:pStyle w:val="Heading1"/>
        <w:rPr/>
      </w:pPr>
      <w:bookmarkStart w:id="186" w:name="__RefHeading___Toc11168_1564873447"/>
      <w:bookmarkStart w:id="187" w:name="referencias"/>
      <w:bookmarkEnd w:id="186"/>
      <w:r>
        <w:rPr/>
        <w:t>Referencias</w:t>
      </w:r>
    </w:p>
    <w:p>
      <w:pPr>
        <w:pStyle w:val="FirstParagraph"/>
        <w:rPr/>
      </w:pPr>
      <w:r>
        <w:rPr/>
        <w:t xml:space="preserve">[1] R. E. Kalman, “A new approach to linear filtering and prediction problems,” </w:t>
      </w:r>
      <w:r>
        <w:rPr>
          <w:i/>
          <w:iCs/>
        </w:rPr>
        <w:t>Journal of Basic Engineering</w:t>
      </w:r>
      <w:r>
        <w:rPr/>
        <w:t>, vol. 82, no. 1, pp. 35–45, 1960.</w:t>
      </w:r>
    </w:p>
    <w:p>
      <w:pPr>
        <w:pStyle w:val="BodyText"/>
        <w:rPr/>
      </w:pPr>
      <w:r>
        <w:rPr/>
        <w:t xml:space="preserve">[2] Y. Bar-Shalom, X. R. Li y T. Kirubarajan, </w:t>
      </w:r>
      <w:r>
        <w:rPr>
          <w:i/>
          <w:iCs/>
        </w:rPr>
        <w:t>Estimation with Applications to Tracking and Navigation</w:t>
      </w:r>
      <w:r>
        <w:rPr/>
        <w:t>. Wiley, 2001.</w:t>
      </w:r>
    </w:p>
    <w:p>
      <w:pPr>
        <w:pStyle w:val="BodyText"/>
        <w:rPr/>
      </w:pPr>
      <w:r>
        <w:rPr/>
        <w:t xml:space="preserve">[3] S. J. Julier y J. K. Uhlmann, “Unscented filtering and nonlinear estimation,” </w:t>
      </w:r>
      <w:r>
        <w:rPr>
          <w:i/>
          <w:iCs/>
        </w:rPr>
        <w:t>Proceedings of the IEEE</w:t>
      </w:r>
      <w:r>
        <w:rPr/>
        <w:t>, vol. 92, no. 3, pp. 401–422, 2004.</w:t>
      </w:r>
    </w:p>
    <w:p>
      <w:pPr>
        <w:pStyle w:val="BodyText"/>
        <w:rPr/>
      </w:pPr>
      <w:r>
        <w:rPr/>
        <w:t xml:space="preserve">[4] S. J. Julier y J. K. Uhlmann, “A non-divergent estimation algorithm in the presence of unknown correlations,” </w:t>
      </w:r>
      <w:r>
        <w:rPr>
          <w:i/>
          <w:iCs/>
        </w:rPr>
        <w:t>Proc. American Control Conference</w:t>
      </w:r>
      <w:r>
        <w:rPr/>
        <w:t>, 1997.</w:t>
      </w:r>
    </w:p>
    <w:p>
      <w:pPr>
        <w:pStyle w:val="BodyText"/>
        <w:rPr/>
      </w:pPr>
      <w:r>
        <w:rPr/>
        <w:t xml:space="preserve">[5] A. P. Sage y G. W. Husa, “Adaptive filtering with unknown prior statistics,” </w:t>
      </w:r>
      <w:r>
        <w:rPr>
          <w:i/>
          <w:iCs/>
        </w:rPr>
        <w:t>Joint Automatic Control Conference</w:t>
      </w:r>
      <w:r>
        <w:rPr/>
        <w:t>, 1969.</w:t>
      </w:r>
    </w:p>
    <w:p>
      <w:pPr>
        <w:pStyle w:val="BodyText"/>
        <w:rPr/>
      </w:pPr>
      <w:r>
        <w:rPr/>
        <w:t xml:space="preserve">[6] R. K. Mehra, “On the identification of variances and adaptive Kalman filtering,” </w:t>
      </w:r>
      <w:r>
        <w:rPr>
          <w:i/>
          <w:iCs/>
        </w:rPr>
        <w:t>IEEE Transactions on Automatic Control</w:t>
      </w:r>
      <w:r>
        <w:rPr/>
        <w:t>, vol. 15, no. 2, pp. 175–184, 1970.</w:t>
      </w:r>
    </w:p>
    <w:p>
      <w:pPr>
        <w:pStyle w:val="BodyText"/>
        <w:rPr/>
      </w:pPr>
      <w:r>
        <w:rPr/>
        <w:t xml:space="preserve">[7] C. F. Van Loan, “Computing integrals involving the matrix exponential,” </w:t>
      </w:r>
      <w:r>
        <w:rPr>
          <w:i/>
          <w:iCs/>
        </w:rPr>
        <w:t>IEEE Transactions on Automatic Control</w:t>
      </w:r>
      <w:r>
        <w:rPr/>
        <w:t>, vol. 23, no. 3, pp. 395–404, 1978.</w:t>
      </w:r>
    </w:p>
    <w:p>
      <w:pPr>
        <w:pStyle w:val="BodyText"/>
        <w:rPr/>
      </w:pPr>
      <w:r>
        <w:rPr/>
        <w:t xml:space="preserve">[8] M. D. Morris, “Factorial sampling plans for preliminary computational experiments,” </w:t>
      </w:r>
      <w:r>
        <w:rPr>
          <w:i/>
          <w:iCs/>
        </w:rPr>
        <w:t>Technometrics</w:t>
      </w:r>
      <w:r>
        <w:rPr/>
        <w:t>, vol. 33, no. 2, pp. 161–174, 1991.</w:t>
      </w:r>
    </w:p>
    <w:p>
      <w:pPr>
        <w:pStyle w:val="BodyText"/>
        <w:rPr/>
      </w:pPr>
      <w:r>
        <w:rPr/>
        <w:t xml:space="preserve">[9] A. Saltelli et al., </w:t>
      </w:r>
      <w:r>
        <w:rPr>
          <w:i/>
          <w:iCs/>
        </w:rPr>
        <w:t>Global Sensitivity Analysis: The Primer</w:t>
      </w:r>
      <w:r>
        <w:rPr/>
        <w:t>. Wiley, 2008.</w:t>
      </w:r>
    </w:p>
    <w:p>
      <w:pPr>
        <w:pStyle w:val="BodyText"/>
        <w:rPr/>
      </w:pPr>
      <w:r>
        <w:rPr/>
        <w:t xml:space="preserve">[10] J. Herman y W. Usher, “SALib: An open-source Python library for sensitivity analysis,” </w:t>
      </w:r>
      <w:r>
        <w:rPr>
          <w:i/>
          <w:iCs/>
        </w:rPr>
        <w:t>Journal of Open Source Software</w:t>
      </w:r>
      <w:r>
        <w:rPr/>
        <w:t>, vol. 2, no. 9, 2017.</w:t>
      </w:r>
    </w:p>
    <w:p>
      <w:pPr>
        <w:pStyle w:val="BodyText"/>
        <w:rPr/>
      </w:pPr>
      <w:r>
        <w:rPr/>
        <w:t xml:space="preserve">[11] M. D. McKay, R. J. Beckman y W. J. Conover, “A comparison of three methods for selecting values of input variables in the analysis of output from a computer code,” </w:t>
      </w:r>
      <w:r>
        <w:rPr>
          <w:i/>
          <w:iCs/>
        </w:rPr>
        <w:t>Technometrics</w:t>
      </w:r>
      <w:r>
        <w:rPr/>
        <w:t>, vol. 21, no. 2, pp. 239–245, 1979.</w:t>
      </w:r>
    </w:p>
    <w:p>
      <w:pPr>
        <w:pStyle w:val="BodyText"/>
        <w:spacing w:before="180" w:after="180"/>
        <w:rPr/>
      </w:pPr>
      <w:r>
        <w:rPr/>
        <w:t xml:space="preserve">[12] F. Wilcoxon, “Individual comparisons by ranking methods,” </w:t>
      </w:r>
      <w:r>
        <w:rPr>
          <w:i/>
          <w:iCs/>
        </w:rPr>
        <w:t>Biometrics Bulletin</w:t>
      </w:r>
      <w:r>
        <w:rPr/>
        <w:t xml:space="preserve">, vol. 1, no. 6, pp. 80–83, 1945; S. Holm, “A simple sequentially rejective multiple test procedure,” </w:t>
      </w:r>
      <w:r>
        <w:rPr>
          <w:i/>
          <w:iCs/>
        </w:rPr>
        <w:t>Scandinavian Journal of Statistics</w:t>
      </w:r>
      <w:r>
        <w:rPr/>
        <w:t>, vol. 6, no. 2, pp. 65–70, 1979.</w:t>
      </w:r>
      <w:bookmarkEnd w:id="187"/>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Manual Técnico del Programa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Manual Técnico del Programa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1"/>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2"/>
  </w:num>
  <w:num w:numId="25">
    <w:abstractNumId w:val="2"/>
  </w:num>
  <w:num w:numId="26">
    <w:abstractNumId w:val="2"/>
  </w:num>
  <w:num w:numId="27">
    <w:abstractNumId w:val="2"/>
  </w:num>
  <w:num w:numId="28">
    <w:abstractNumId w:val="2"/>
  </w:num>
  <w:num w:numId="29">
    <w:abstractNumId w:val="2"/>
  </w:num>
  <w:num w:numId="30">
    <w:abstractNumId w:val="1"/>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 w:cs="" w:cstheme="minorBidi" w:eastAsiaTheme="minorEastAsia"/>
      <w:color w:val="auto"/>
      <w:kern w:val="0"/>
      <w:sz w:val="22"/>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Calibri" w:hAnsi="Calibri" w:eastAsia="" w:cs="" w:cstheme="majorBidi" w:eastAsiaTheme="majorEastAsia"/>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b/>
      <w:color w:val="003E7E"/>
      <w:sz w:val="48"/>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40</Pages>
  <Words>9516</Words>
  <Characters>56398</Characters>
  <CharactersWithSpaces>64608</CharactersWithSpaces>
  <Paragraphs>1587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2026-09-26T01:51:49Z</dcterms:created>
  <dc:creator>Francisco Javier Burgos Flórez</dc:creator>
  <dc:description/>
  <cp:keywords>multisensor fusion sensor trust innovation Kalman filter Monte Carlo reproducibility</cp:keywords>
  <dc:language>es-CO</dc:language>
  <cp:lastModifiedBy/>
  <dcterms:modified xsi:type="dcterms:W3CDTF">2026-09-26T01:51:53Z</dcterms:modified>
  <cp:revision>1</cp:revision>
  <dc:subject>A Scientific Platform for Adaptive Multisensor Fusion Under Sensor Degradation and Uncertainty</dc:subject>
  <dc:title>SensorTrust Fusion v1.0.0 – Manual Técnico del Programa</dc:title>
</cp:coreProperties>
</file>

<file path=docProps/custom.xml><?xml version="1.0" encoding="utf-8"?>
<Properties xmlns="http://schemas.openxmlformats.org/officeDocument/2006/custom-properties" xmlns:vt="http://schemas.openxmlformats.org/officeDocument/2006/docPropsVTypes"/>
</file>