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29.png" ContentType="image/png"/>
  <Override PartName="/word/media/image28.png" ContentType="image/png"/>
  <Override PartName="/word/media/image2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media/image18.png" ContentType="image/png"/>
  <Override PartName="/word/media/image9.png" ContentType="image/png"/>
  <Override PartName="/word/media/image20.png" ContentType="image/png"/>
  <Override PartName="/word/media/image13.png" ContentType="image/png"/>
  <Override PartName="/word/media/image4.png" ContentType="image/png"/>
  <Override PartName="/word/media/image30.png" ContentType="image/png"/>
  <Override PartName="/word/media/image31.png" ContentType="image/png"/>
  <Override PartName="/word/media/image32.png" ContentType="image/png"/>
  <Override PartName="/word/media/image7.png" ContentType="image/png"/>
  <Override PartName="/word/media/image16.png" ContentType="image/png"/>
  <Override PartName="/word/media/image10.png" ContentType="image/png"/>
  <Override PartName="/word/media/image1.png" ContentType="image/png"/>
  <Override PartName="/word/media/image6.png" ContentType="image/png"/>
  <Override PartName="/word/media/image15.png" ContentType="image/png"/>
  <Override PartName="/word/media/image5.png" ContentType="image/png"/>
  <Override PartName="/word/media/image14.png" ContentType="image/png"/>
  <Override PartName="/word/media/image19.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i w:val="false"/>
          <w:color w:val="003E7E"/>
          <w:sz w:val="60"/>
        </w:rPr>
        <w:t>SensorTrust Fusion</w:t>
      </w:r>
    </w:p>
    <w:p>
      <w:pPr>
        <w:pStyle w:val="Normal"/>
        <w:jc w:val="center"/>
        <w:rPr/>
      </w:pPr>
      <w:r>
        <w:rPr>
          <w:b/>
          <w:i w:val="false"/>
          <w:color w:val="0D366B"/>
          <w:sz w:val="36"/>
        </w:rPr>
        <w:t>Manual de Usuario del Programa</w:t>
      </w:r>
    </w:p>
    <w:p>
      <w:pPr>
        <w:pStyle w:val="Normal"/>
        <w:rPr/>
      </w:pPr>
      <w:r>
        <w:rPr/>
      </w:r>
    </w:p>
    <w:p>
      <w:pPr>
        <w:pStyle w:val="Normal"/>
        <w:jc w:val="center"/>
        <w:rPr/>
      </w:pPr>
      <w:r>
        <w:rPr>
          <w:b w:val="false"/>
          <w:i/>
          <w:color w:val="52514E"/>
          <w:sz w:val="24"/>
        </w:rPr>
        <w:t>A Scientific Platform for Adaptive Multisensor Fusion Under Sensor Degradation and Uncertainty</w:t>
      </w:r>
    </w:p>
    <w:p>
      <w:pPr>
        <w:pStyle w:val="Normal"/>
        <w:jc w:val="center"/>
        <w:rPr/>
      </w:pPr>
      <w:r>
        <w:rPr>
          <w:b w:val="false"/>
          <w:i/>
          <w:color w:val="52514E"/>
          <w:sz w:val="24"/>
        </w:rPr>
        <w:t>Plataforma científica para fusión multisensor adaptativa bajo degradación e incertidumbre de sensores</w:t>
      </w:r>
    </w:p>
    <w:p>
      <w:pPr>
        <w:pStyle w:val="Normal"/>
        <w:rPr/>
      </w:pPr>
      <w:r>
        <w:rPr/>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Autor:</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Francisco Javier Burgos Flórez</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Versión:</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1.0.0</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Fecha:</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Septiembre de 2026</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Contacto:</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fjburgosf@gmail.com</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Titular de los derechos:</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Francisco Javier Burgos Flórez</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Repositorio:</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https://github.com/fjburgosf/SensorTrustFusion</w:t>
            </w:r>
          </w:p>
        </w:tc>
      </w:tr>
    </w:tbl>
    <w:p>
      <w:pPr>
        <w:pStyle w:val="Normal"/>
        <w:rPr/>
      </w:pPr>
      <w:r>
        <w:rPr/>
      </w:r>
    </w:p>
    <w:p>
      <w:pPr>
        <w:pStyle w:val="Normal"/>
        <w:jc w:val="center"/>
        <w:rPr/>
      </w:pPr>
      <w:r>
        <w:rPr>
          <w:b w:val="false"/>
          <w:i/>
          <w:color w:val="52514E"/>
          <w:sz w:val="20"/>
        </w:rPr>
        <w:t>Software científico desarrollado y validado exclusivamente con simulación computacional y sensores virtuales; no requiere hardware externo.</w:t>
      </w:r>
      <w:r>
        <w:br w:type="page"/>
      </w:r>
    </w:p>
    <w:p>
      <w:pPr>
        <w:pStyle w:val="Normal"/>
        <w:spacing w:before="0" w:after="200"/>
        <w:rPr/>
      </w:pPr>
      <w:r>
        <w:rPr>
          <w:b/>
          <w:i w:val="false"/>
          <w:color w:val="003E7E"/>
          <w:sz w:val="32"/>
        </w:rPr>
        <w:t>Tabla de contenido</w:t>
      </w:r>
    </w:p>
    <w:sdt>
      <w:sdtPr>
        <w:docPartObj>
          <w:docPartGallery w:val="Table of Contents"/>
          <w:docPartUnique w:val="true"/>
        </w:docPartObj>
      </w:sdtPr>
      <w:sdtContent>
        <w:p>
          <w:pPr>
            <w:pStyle w:val="TOC1"/>
            <w:tabs>
              <w:tab w:val="clear" w:pos="9632"/>
              <w:tab w:val="right" w:pos="963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927_196539785">
            <w:r>
              <w:rPr>
                <w:webHidden/>
                <w:rStyle w:val="IndexLink"/>
              </w:rPr>
              <w:t>1. Introducción</w:t>
              <w:tab/>
              <w:t>4</w:t>
            </w:r>
          </w:hyperlink>
        </w:p>
        <w:p>
          <w:pPr>
            <w:pStyle w:val="TOC2"/>
            <w:tabs>
              <w:tab w:val="clear" w:pos="9349"/>
              <w:tab w:val="right" w:pos="9631" w:leader="dot"/>
            </w:tabs>
            <w:rPr/>
          </w:pPr>
          <w:hyperlink w:anchor="__RefHeading___Toc1929_196539785">
            <w:r>
              <w:rPr>
                <w:webHidden/>
                <w:rStyle w:val="IndexLink"/>
              </w:rPr>
              <w:t>1.1 Propósito del software</w:t>
              <w:tab/>
              <w:t>4</w:t>
            </w:r>
          </w:hyperlink>
        </w:p>
        <w:p>
          <w:pPr>
            <w:pStyle w:val="TOC2"/>
            <w:tabs>
              <w:tab w:val="clear" w:pos="9349"/>
              <w:tab w:val="right" w:pos="9631" w:leader="dot"/>
            </w:tabs>
            <w:rPr/>
          </w:pPr>
          <w:hyperlink w:anchor="__RefHeading___Toc1931_196539785">
            <w:r>
              <w:rPr>
                <w:webHidden/>
                <w:rStyle w:val="IndexLink"/>
              </w:rPr>
              <w:t>1.2 Requisito fundamental: no se necesita hardware</w:t>
              <w:tab/>
              <w:t>4</w:t>
            </w:r>
          </w:hyperlink>
        </w:p>
        <w:p>
          <w:pPr>
            <w:pStyle w:val="TOC2"/>
            <w:tabs>
              <w:tab w:val="clear" w:pos="9349"/>
              <w:tab w:val="right" w:pos="9631" w:leader="dot"/>
            </w:tabs>
            <w:rPr/>
          </w:pPr>
          <w:hyperlink w:anchor="__RefHeading___Toc1933_196539785">
            <w:r>
              <w:rPr>
                <w:webHidden/>
                <w:rStyle w:val="IndexLink"/>
              </w:rPr>
              <w:t>1.3 Alcance del documento</w:t>
              <w:tab/>
              <w:t>4</w:t>
            </w:r>
          </w:hyperlink>
        </w:p>
        <w:p>
          <w:pPr>
            <w:pStyle w:val="TOC1"/>
            <w:tabs>
              <w:tab w:val="clear" w:pos="9632"/>
              <w:tab w:val="right" w:pos="9631" w:leader="dot"/>
            </w:tabs>
            <w:rPr/>
          </w:pPr>
          <w:hyperlink w:anchor="__RefHeading___Toc1935_196539785">
            <w:r>
              <w:rPr>
                <w:webHidden/>
                <w:rStyle w:val="IndexLink"/>
              </w:rPr>
              <w:t>2. Instalación</w:t>
              <w:tab/>
              <w:t>4</w:t>
            </w:r>
          </w:hyperlink>
        </w:p>
        <w:p>
          <w:pPr>
            <w:pStyle w:val="TOC2"/>
            <w:tabs>
              <w:tab w:val="clear" w:pos="9349"/>
              <w:tab w:val="right" w:pos="9631" w:leader="dot"/>
            </w:tabs>
            <w:rPr/>
          </w:pPr>
          <w:hyperlink w:anchor="__RefHeading___Toc1937_196539785">
            <w:r>
              <w:rPr>
                <w:webHidden/>
                <w:rStyle w:val="IndexLink"/>
              </w:rPr>
              <w:t>2.1 Opción A: ejecutable para Windows</w:t>
              <w:tab/>
              <w:t>4</w:t>
            </w:r>
          </w:hyperlink>
        </w:p>
        <w:p>
          <w:pPr>
            <w:pStyle w:val="TOC2"/>
            <w:tabs>
              <w:tab w:val="clear" w:pos="9349"/>
              <w:tab w:val="right" w:pos="9631" w:leader="dot"/>
            </w:tabs>
            <w:rPr/>
          </w:pPr>
          <w:hyperlink w:anchor="__RefHeading___Toc1939_196539785">
            <w:r>
              <w:rPr>
                <w:webHidden/>
                <w:rStyle w:val="IndexLink"/>
              </w:rPr>
              <w:t>2.2 Opción B: desde el código fuente (Windows, Linux o macOS)</w:t>
              <w:tab/>
              <w:t>5</w:t>
            </w:r>
          </w:hyperlink>
        </w:p>
        <w:p>
          <w:pPr>
            <w:pStyle w:val="TOC1"/>
            <w:tabs>
              <w:tab w:val="clear" w:pos="9632"/>
              <w:tab w:val="right" w:pos="9631" w:leader="dot"/>
            </w:tabs>
            <w:rPr/>
          </w:pPr>
          <w:hyperlink w:anchor="__RefHeading___Toc1941_196539785">
            <w:r>
              <w:rPr>
                <w:webHidden/>
                <w:rStyle w:val="IndexLink"/>
              </w:rPr>
              <w:t>3. Ejecución</w:t>
              <w:tab/>
              <w:t>5</w:t>
            </w:r>
          </w:hyperlink>
        </w:p>
        <w:p>
          <w:pPr>
            <w:pStyle w:val="TOC1"/>
            <w:tabs>
              <w:tab w:val="clear" w:pos="9632"/>
              <w:tab w:val="right" w:pos="9631" w:leader="dot"/>
            </w:tabs>
            <w:rPr/>
          </w:pPr>
          <w:hyperlink w:anchor="__RefHeading___Toc1943_196539785">
            <w:r>
              <w:rPr>
                <w:webHidden/>
                <w:rStyle w:val="IndexLink"/>
              </w:rPr>
              <w:t>4. Interfaz</w:t>
              <w:tab/>
              <w:t>6</w:t>
            </w:r>
          </w:hyperlink>
        </w:p>
        <w:p>
          <w:pPr>
            <w:pStyle w:val="TOC2"/>
            <w:tabs>
              <w:tab w:val="clear" w:pos="9349"/>
              <w:tab w:val="right" w:pos="9631" w:leader="dot"/>
            </w:tabs>
            <w:rPr/>
          </w:pPr>
          <w:hyperlink w:anchor="__RefHeading___Toc1945_196539785">
            <w:r>
              <w:rPr>
                <w:webHidden/>
                <w:rStyle w:val="IndexLink"/>
              </w:rPr>
              <w:t>4.1 Ventana principal</w:t>
              <w:tab/>
              <w:t>6</w:t>
            </w:r>
          </w:hyperlink>
        </w:p>
        <w:p>
          <w:pPr>
            <w:pStyle w:val="TOC2"/>
            <w:tabs>
              <w:tab w:val="clear" w:pos="9349"/>
              <w:tab w:val="right" w:pos="9631" w:leader="dot"/>
            </w:tabs>
            <w:rPr/>
          </w:pPr>
          <w:hyperlink w:anchor="__RefHeading___Toc1947_196539785">
            <w:r>
              <w:rPr>
                <w:webHidden/>
                <w:rStyle w:val="IndexLink"/>
              </w:rPr>
              <w:t>4.2 Interfaz bilingüe</w:t>
              <w:tab/>
              <w:t>6</w:t>
            </w:r>
          </w:hyperlink>
        </w:p>
        <w:p>
          <w:pPr>
            <w:pStyle w:val="TOC1"/>
            <w:tabs>
              <w:tab w:val="clear" w:pos="9632"/>
              <w:tab w:val="right" w:pos="9631" w:leader="dot"/>
            </w:tabs>
            <w:rPr/>
          </w:pPr>
          <w:hyperlink w:anchor="__RefHeading___Toc1949_196539785">
            <w:r>
              <w:rPr>
                <w:webHidden/>
                <w:rStyle w:val="IndexLink"/>
              </w:rPr>
              <w:t>5. Configuración del sistema</w:t>
              <w:tab/>
              <w:t>7</w:t>
            </w:r>
          </w:hyperlink>
        </w:p>
        <w:p>
          <w:pPr>
            <w:pStyle w:val="TOC1"/>
            <w:tabs>
              <w:tab w:val="clear" w:pos="9632"/>
              <w:tab w:val="right" w:pos="9631" w:leader="dot"/>
            </w:tabs>
            <w:rPr/>
          </w:pPr>
          <w:hyperlink w:anchor="__RefHeading___Toc1951_196539785">
            <w:r>
              <w:rPr>
                <w:webHidden/>
                <w:rStyle w:val="IndexLink"/>
              </w:rPr>
              <w:t>6. Creación de sensores</w:t>
              <w:tab/>
              <w:t>9</w:t>
            </w:r>
          </w:hyperlink>
        </w:p>
        <w:p>
          <w:pPr>
            <w:pStyle w:val="TOC1"/>
            <w:tabs>
              <w:tab w:val="clear" w:pos="9632"/>
              <w:tab w:val="right" w:pos="9631" w:leader="dot"/>
            </w:tabs>
            <w:rPr/>
          </w:pPr>
          <w:hyperlink w:anchor="__RefHeading___Toc1953_196539785">
            <w:r>
              <w:rPr>
                <w:webHidden/>
                <w:rStyle w:val="IndexLink"/>
              </w:rPr>
              <w:t>7. Configuración de degradaciones</w:t>
              <w:tab/>
              <w:t>10</w:t>
            </w:r>
          </w:hyperlink>
        </w:p>
        <w:p>
          <w:pPr>
            <w:pStyle w:val="TOC1"/>
            <w:tabs>
              <w:tab w:val="clear" w:pos="9632"/>
              <w:tab w:val="right" w:pos="9631" w:leader="dot"/>
            </w:tabs>
            <w:rPr/>
          </w:pPr>
          <w:hyperlink w:anchor="__RefHeading___Toc1955_196539785">
            <w:r>
              <w:rPr>
                <w:webHidden/>
                <w:rStyle w:val="IndexLink"/>
              </w:rPr>
              <w:t>8. Selección de métodos</w:t>
              <w:tab/>
              <w:t>11</w:t>
            </w:r>
          </w:hyperlink>
        </w:p>
        <w:p>
          <w:pPr>
            <w:pStyle w:val="TOC1"/>
            <w:tabs>
              <w:tab w:val="clear" w:pos="9632"/>
              <w:tab w:val="right" w:pos="9631" w:leader="dot"/>
            </w:tabs>
            <w:rPr/>
          </w:pPr>
          <w:hyperlink w:anchor="__RefHeading___Toc1957_196539785">
            <w:r>
              <w:rPr>
                <w:webHidden/>
                <w:rStyle w:val="IndexLink"/>
              </w:rPr>
              <w:t>9. Configuración de SensorTrust</w:t>
              <w:tab/>
              <w:t>12</w:t>
            </w:r>
          </w:hyperlink>
        </w:p>
        <w:p>
          <w:pPr>
            <w:pStyle w:val="TOC1"/>
            <w:tabs>
              <w:tab w:val="clear" w:pos="9632"/>
              <w:tab w:val="right" w:pos="9631" w:leader="dot"/>
            </w:tabs>
            <w:rPr/>
          </w:pPr>
          <w:hyperlink w:anchor="__RefHeading___Toc1959_196539785">
            <w:r>
              <w:rPr>
                <w:webHidden/>
                <w:rStyle w:val="IndexLink"/>
              </w:rPr>
              <w:t>10. Ejecución</w:t>
              <w:tab/>
              <w:t>13</w:t>
            </w:r>
          </w:hyperlink>
        </w:p>
        <w:p>
          <w:pPr>
            <w:pStyle w:val="TOC1"/>
            <w:tabs>
              <w:tab w:val="clear" w:pos="9632"/>
              <w:tab w:val="right" w:pos="9631" w:leader="dot"/>
            </w:tabs>
            <w:rPr/>
          </w:pPr>
          <w:hyperlink w:anchor="__RefHeading___Toc1961_196539785">
            <w:r>
              <w:rPr>
                <w:webHidden/>
                <w:rStyle w:val="IndexLink"/>
              </w:rPr>
              <w:t>11. Interpretación de resultados</w:t>
              <w:tab/>
              <w:t>13</w:t>
            </w:r>
          </w:hyperlink>
        </w:p>
        <w:p>
          <w:pPr>
            <w:pStyle w:val="TOC1"/>
            <w:tabs>
              <w:tab w:val="clear" w:pos="9632"/>
              <w:tab w:val="right" w:pos="9631" w:leader="dot"/>
            </w:tabs>
            <w:rPr/>
          </w:pPr>
          <w:hyperlink w:anchor="__RefHeading___Toc1963_196539785">
            <w:r>
              <w:rPr>
                <w:webHidden/>
                <w:rStyle w:val="IndexLink"/>
              </w:rPr>
              <w:t>12. Guía visual paso a paso: sesgo progresivo</w:t>
              <w:tab/>
              <w:t>13</w:t>
            </w:r>
          </w:hyperlink>
        </w:p>
        <w:p>
          <w:pPr>
            <w:pStyle w:val="TOC1"/>
            <w:tabs>
              <w:tab w:val="clear" w:pos="9632"/>
              <w:tab w:val="right" w:pos="9631" w:leader="dot"/>
            </w:tabs>
            <w:rPr/>
          </w:pPr>
          <w:hyperlink w:anchor="__RefHeading___Toc1965_196539785">
            <w:r>
              <w:rPr>
                <w:webHidden/>
                <w:rStyle w:val="IndexLink"/>
              </w:rPr>
              <w:t>13. Experimentos del manual</w:t>
              <w:tab/>
              <w:t>16</w:t>
            </w:r>
          </w:hyperlink>
        </w:p>
        <w:p>
          <w:pPr>
            <w:pStyle w:val="TOC2"/>
            <w:tabs>
              <w:tab w:val="clear" w:pos="9349"/>
              <w:tab w:val="right" w:pos="9631" w:leader="dot"/>
            </w:tabs>
            <w:rPr/>
          </w:pPr>
          <w:hyperlink w:anchor="__RefHeading___Toc1967_196539785">
            <w:r>
              <w:rPr>
                <w:webHidden/>
                <w:rStyle w:val="IndexLink"/>
              </w:rPr>
              <w:t>13.1 Experimento A – Caso nominal</w:t>
              <w:tab/>
              <w:t>16</w:t>
            </w:r>
          </w:hyperlink>
        </w:p>
        <w:p>
          <w:pPr>
            <w:pStyle w:val="TOC2"/>
            <w:tabs>
              <w:tab w:val="clear" w:pos="9349"/>
              <w:tab w:val="right" w:pos="9631" w:leader="dot"/>
            </w:tabs>
            <w:rPr/>
          </w:pPr>
          <w:hyperlink w:anchor="__RefHeading___Toc1969_196539785">
            <w:r>
              <w:rPr>
                <w:webHidden/>
                <w:rStyle w:val="IndexLink"/>
              </w:rPr>
              <w:t>13.2 Experimento B – Sesgo abrupto</w:t>
              <w:tab/>
              <w:t>16</w:t>
            </w:r>
          </w:hyperlink>
        </w:p>
        <w:p>
          <w:pPr>
            <w:pStyle w:val="TOC2"/>
            <w:tabs>
              <w:tab w:val="clear" w:pos="9349"/>
              <w:tab w:val="right" w:pos="9631" w:leader="dot"/>
            </w:tabs>
            <w:rPr/>
          </w:pPr>
          <w:hyperlink w:anchor="__RefHeading___Toc1971_196539785">
            <w:r>
              <w:rPr>
                <w:webHidden/>
                <w:rStyle w:val="IndexLink"/>
              </w:rPr>
              <w:t>13.3 Experimento C – Sesgo progresivo</w:t>
              <w:tab/>
              <w:t>19</w:t>
            </w:r>
          </w:hyperlink>
        </w:p>
        <w:p>
          <w:pPr>
            <w:pStyle w:val="TOC2"/>
            <w:tabs>
              <w:tab w:val="clear" w:pos="9349"/>
              <w:tab w:val="right" w:pos="9631" w:leader="dot"/>
            </w:tabs>
            <w:rPr/>
          </w:pPr>
          <w:hyperlink w:anchor="__RefHeading___Toc1973_196539785">
            <w:r>
              <w:rPr>
                <w:webHidden/>
                <w:rStyle w:val="IndexLink"/>
              </w:rPr>
              <w:t>13.4 Experimento D – Ruido creciente</w:t>
              <w:tab/>
              <w:t>19</w:t>
            </w:r>
          </w:hyperlink>
        </w:p>
        <w:p>
          <w:pPr>
            <w:pStyle w:val="TOC2"/>
            <w:tabs>
              <w:tab w:val="clear" w:pos="9349"/>
              <w:tab w:val="right" w:pos="9631" w:leader="dot"/>
            </w:tabs>
            <w:rPr/>
          </w:pPr>
          <w:hyperlink w:anchor="__RefHeading___Toc1975_196539785">
            <w:r>
              <w:rPr>
                <w:webHidden/>
                <w:rStyle w:val="IndexLink"/>
              </w:rPr>
              <w:t>13.5 Experimento E – Deriva</w:t>
              <w:tab/>
              <w:t>20</w:t>
            </w:r>
          </w:hyperlink>
        </w:p>
        <w:p>
          <w:pPr>
            <w:pStyle w:val="TOC2"/>
            <w:tabs>
              <w:tab w:val="clear" w:pos="9349"/>
              <w:tab w:val="right" w:pos="9631" w:leader="dot"/>
            </w:tabs>
            <w:rPr/>
          </w:pPr>
          <w:hyperlink w:anchor="__RefHeading___Toc1977_196539785">
            <w:r>
              <w:rPr>
                <w:webHidden/>
                <w:rStyle w:val="IndexLink"/>
              </w:rPr>
              <w:t>13.6 Experimento F – Valores atípicos</w:t>
              <w:tab/>
              <w:t>21</w:t>
            </w:r>
          </w:hyperlink>
        </w:p>
        <w:p>
          <w:pPr>
            <w:pStyle w:val="TOC2"/>
            <w:tabs>
              <w:tab w:val="clear" w:pos="9349"/>
              <w:tab w:val="right" w:pos="9631" w:leader="dot"/>
            </w:tabs>
            <w:rPr/>
          </w:pPr>
          <w:hyperlink w:anchor="__RefHeading___Toc1979_196539785">
            <w:r>
              <w:rPr>
                <w:webHidden/>
                <w:rStyle w:val="IndexLink"/>
              </w:rPr>
              <w:t>13.7 Experimento G – Sensor congelado</w:t>
              <w:tab/>
              <w:t>21</w:t>
            </w:r>
          </w:hyperlink>
        </w:p>
        <w:p>
          <w:pPr>
            <w:pStyle w:val="TOC2"/>
            <w:tabs>
              <w:tab w:val="clear" w:pos="9349"/>
              <w:tab w:val="right" w:pos="9631" w:leader="dot"/>
            </w:tabs>
            <w:rPr/>
          </w:pPr>
          <w:hyperlink w:anchor="__RefHeading___Toc1981_196539785">
            <w:r>
              <w:rPr>
                <w:webHidden/>
                <w:rStyle w:val="IndexLink"/>
              </w:rPr>
              <w:t>13.8 Experimento H – Recuperación</w:t>
              <w:tab/>
              <w:t>22</w:t>
            </w:r>
          </w:hyperlink>
        </w:p>
        <w:p>
          <w:pPr>
            <w:pStyle w:val="TOC2"/>
            <w:tabs>
              <w:tab w:val="clear" w:pos="9349"/>
              <w:tab w:val="right" w:pos="9631" w:leader="dot"/>
            </w:tabs>
            <w:rPr/>
          </w:pPr>
          <w:hyperlink w:anchor="__RefHeading___Toc1983_196539785">
            <w:r>
              <w:rPr>
                <w:webHidden/>
                <w:rStyle w:val="IndexLink"/>
              </w:rPr>
              <w:t>13.9 Experimento I – Dos sensores degradados</w:t>
              <w:tab/>
              <w:t>23</w:t>
            </w:r>
          </w:hyperlink>
        </w:p>
        <w:p>
          <w:pPr>
            <w:pStyle w:val="TOC2"/>
            <w:tabs>
              <w:tab w:val="clear" w:pos="9349"/>
              <w:tab w:val="right" w:pos="9631" w:leader="dot"/>
            </w:tabs>
            <w:rPr/>
          </w:pPr>
          <w:hyperlink w:anchor="__RefHeading___Toc1985_196539785">
            <w:r>
              <w:rPr>
                <w:webHidden/>
                <w:rStyle w:val="IndexLink"/>
              </w:rPr>
              <w:t>13.10 Experimento J – Comparación de métodos</w:t>
              <w:tab/>
              <w:t>23</w:t>
            </w:r>
          </w:hyperlink>
        </w:p>
        <w:p>
          <w:pPr>
            <w:pStyle w:val="TOC2"/>
            <w:tabs>
              <w:tab w:val="clear" w:pos="9349"/>
              <w:tab w:val="right" w:pos="9631" w:leader="dot"/>
            </w:tabs>
            <w:rPr/>
          </w:pPr>
          <w:hyperlink w:anchor="__RefHeading___Toc1987_196539785">
            <w:r>
              <w:rPr>
                <w:webHidden/>
                <w:rStyle w:val="IndexLink"/>
              </w:rPr>
              <w:t>13.11 Experimento K – Monte Carlo</w:t>
              <w:tab/>
              <w:t>24</w:t>
            </w:r>
          </w:hyperlink>
        </w:p>
        <w:p>
          <w:pPr>
            <w:pStyle w:val="TOC2"/>
            <w:tabs>
              <w:tab w:val="clear" w:pos="9349"/>
              <w:tab w:val="right" w:pos="9631" w:leader="dot"/>
            </w:tabs>
            <w:rPr/>
          </w:pPr>
          <w:hyperlink w:anchor="__RefHeading___Toc1989_196539785">
            <w:r>
              <w:rPr>
                <w:webHidden/>
                <w:rStyle w:val="IndexLink"/>
              </w:rPr>
              <w:t>13.12 Experimento L – Envolvente de robustez</w:t>
              <w:tab/>
              <w:t>26</w:t>
            </w:r>
          </w:hyperlink>
        </w:p>
        <w:p>
          <w:pPr>
            <w:pStyle w:val="TOC2"/>
            <w:tabs>
              <w:tab w:val="clear" w:pos="9349"/>
              <w:tab w:val="right" w:pos="9631" w:leader="dot"/>
            </w:tabs>
            <w:rPr/>
          </w:pPr>
          <w:hyperlink w:anchor="__RefHeading___Toc1991_196539785">
            <w:r>
              <w:rPr>
                <w:webHidden/>
                <w:rStyle w:val="IndexLink"/>
              </w:rPr>
              <w:t>13.13 Otros estudios disponibles</w:t>
              <w:tab/>
              <w:t>28</w:t>
            </w:r>
          </w:hyperlink>
        </w:p>
        <w:p>
          <w:pPr>
            <w:pStyle w:val="TOC1"/>
            <w:tabs>
              <w:tab w:val="clear" w:pos="9632"/>
              <w:tab w:val="right" w:pos="9631" w:leader="dot"/>
            </w:tabs>
            <w:rPr/>
          </w:pPr>
          <w:hyperlink w:anchor="__RefHeading___Toc1993_196539785">
            <w:r>
              <w:rPr>
                <w:webHidden/>
                <w:rStyle w:val="IndexLink"/>
              </w:rPr>
              <w:t>14. Monte Carlo</w:t>
              <w:tab/>
              <w:t>29</w:t>
            </w:r>
          </w:hyperlink>
        </w:p>
        <w:p>
          <w:pPr>
            <w:pStyle w:val="TOC1"/>
            <w:tabs>
              <w:tab w:val="clear" w:pos="9632"/>
              <w:tab w:val="right" w:pos="9631" w:leader="dot"/>
            </w:tabs>
            <w:rPr/>
          </w:pPr>
          <w:hyperlink w:anchor="__RefHeading___Toc1995_196539785">
            <w:r>
              <w:rPr>
                <w:webHidden/>
                <w:rStyle w:val="IndexLink"/>
              </w:rPr>
              <w:t>15. Comparación de métodos</w:t>
              <w:tab/>
              <w:t>30</w:t>
            </w:r>
          </w:hyperlink>
        </w:p>
        <w:p>
          <w:pPr>
            <w:pStyle w:val="TOC1"/>
            <w:tabs>
              <w:tab w:val="clear" w:pos="9632"/>
              <w:tab w:val="right" w:pos="9631" w:leader="dot"/>
            </w:tabs>
            <w:rPr/>
          </w:pPr>
          <w:hyperlink w:anchor="__RefHeading___Toc1997_196539785">
            <w:r>
              <w:rPr>
                <w:webHidden/>
                <w:rStyle w:val="IndexLink"/>
              </w:rPr>
              <w:t>16. Exportación y reproducibilidad</w:t>
              <w:tab/>
              <w:t>30</w:t>
            </w:r>
          </w:hyperlink>
        </w:p>
        <w:p>
          <w:pPr>
            <w:pStyle w:val="TOC1"/>
            <w:tabs>
              <w:tab w:val="clear" w:pos="9632"/>
              <w:tab w:val="right" w:pos="9631" w:leader="dot"/>
            </w:tabs>
            <w:rPr/>
          </w:pPr>
          <w:hyperlink w:anchor="__RefHeading___Toc1999_196539785">
            <w:r>
              <w:rPr>
                <w:webHidden/>
                <w:rStyle w:val="IndexLink"/>
              </w:rPr>
              <w:t>17. Solución de problemas</w:t>
              <w:tab/>
              <w:t>31</w:t>
            </w:r>
          </w:hyperlink>
          <w:r>
            <w:rPr>
              <w:rStyle w:val="IndexLink"/>
            </w:rPr>
            <w:fldChar w:fldCharType="end"/>
          </w:r>
        </w:p>
      </w:sdtContent>
    </w:sdt>
    <w:p>
      <w:pPr>
        <w:pStyle w:val="Heading1"/>
        <w:spacing w:before="0" w:after="80"/>
        <w:rPr/>
      </w:pPr>
      <w:r>
        <w:br w:type="page"/>
      </w:r>
      <w:bookmarkStart w:id="0" w:name="__RefHeading___Toc1927_196539785"/>
      <w:bookmarkStart w:id="1" w:name="introducción"/>
      <w:bookmarkEnd w:id="0"/>
      <w:r>
        <w:rPr/>
        <w:t>1. Introducción</w:t>
      </w:r>
    </w:p>
    <w:p>
      <w:pPr>
        <w:pStyle w:val="Heading2"/>
        <w:rPr/>
      </w:pPr>
      <w:bookmarkStart w:id="2" w:name="__RefHeading___Toc1929_196539785"/>
      <w:bookmarkStart w:id="3" w:name="propósito-del-software"/>
      <w:bookmarkEnd w:id="2"/>
      <w:r>
        <w:rPr/>
        <w:t>1.1 Propósito del software</w:t>
      </w:r>
    </w:p>
    <w:p>
      <w:pPr>
        <w:pStyle w:val="FirstParagraph"/>
        <w:rPr/>
      </w:pPr>
      <w:bookmarkStart w:id="4" w:name="propósito-del-software"/>
      <w:r>
        <w:rPr/>
        <w:t>SensorTrust Fusion es una plataforma de software científico para diseñar, ejecutar y analizar experimentos de fusión multisensor adaptativa bajo degradación no estacionaria, incertidumbre y fallos de sensores. Permite simular un sistema dinámico, generar cualquier número de sensores virtuales, introducir degradaciones con perfiles temporales, ejecutar varios algoritmos de estimación y fusión sobre exactamente las mismas mediciones, estimar la confianza de cada sensor a partir de la innovación y cuantificar el desempeño con métricas, estudios Monte Carlo, envolventes de robustez y análisis de sensibilidad.</w:t>
      </w:r>
      <w:bookmarkEnd w:id="4"/>
    </w:p>
    <w:p>
      <w:pPr>
        <w:pStyle w:val="Heading2"/>
        <w:rPr/>
      </w:pPr>
      <w:bookmarkStart w:id="5" w:name="__RefHeading___Toc1931_196539785"/>
      <w:bookmarkStart w:id="6" w:name="X4b98bb410fd3eda35a05ebcf8c445f685cefdf0"/>
      <w:bookmarkEnd w:id="5"/>
      <w:r>
        <w:rPr/>
        <w:t>1.2 Requisito fundamental: no se necesita hardware</w:t>
      </w:r>
    </w:p>
    <w:p>
      <w:pPr>
        <w:pStyle w:val="FirstParagraph"/>
        <w:rPr/>
      </w:pPr>
      <w:r>
        <w:rPr/>
        <w:t xml:space="preserve">La versión 1.0.0 funciona íntegramente en un computador convencional. </w:t>
      </w:r>
      <w:r>
        <w:rPr>
          <w:b/>
          <w:bCs/>
        </w:rPr>
        <w:t>No requiere</w:t>
      </w:r>
      <w:r>
        <w:rPr/>
        <w:t xml:space="preserve"> Arduino, microcontroladores, tarjetas de adquisición, sensores físicos, puertos seriales, CAN, Bluetooth ni otra instrumentación. Todas las mediciones provienen de sensores virtuales simulados. Opcionalmente se pueden importar datos externos en CSV, TXT o JSON, pero ninguna función principal lo requiere.</w:t>
      </w:r>
      <w:bookmarkEnd w:id="6"/>
    </w:p>
    <w:p>
      <w:pPr>
        <w:pStyle w:val="Heading2"/>
        <w:rPr/>
      </w:pPr>
      <w:bookmarkStart w:id="7" w:name="__RefHeading___Toc1933_196539785"/>
      <w:bookmarkStart w:id="8" w:name="alcance-del-documento"/>
      <w:bookmarkEnd w:id="7"/>
      <w:r>
        <w:rPr/>
        <w:t>1.3 Alcance del documento</w:t>
      </w:r>
    </w:p>
    <w:p>
      <w:pPr>
        <w:pStyle w:val="FirstParagraph"/>
        <w:rPr/>
      </w:pPr>
      <w:bookmarkStart w:id="9" w:name="introducción"/>
      <w:bookmarkStart w:id="10" w:name="alcance-del-documento"/>
      <w:r>
        <w:rPr/>
        <w:t>Este manual explica la instalación, la ejecución, la interfaz, la configuración de sistemas, sensores, degradaciones, métodos y del estimador SensorTrust, la interpretación de resultados, Monte Carlo, comparación de métodos, exportación y solución de problemas. Incluye una guía visual paso a paso y doce procedimientos experimentales completos (A–L). Todas las capturas de pantalla corresponden al programa real en ejecución y todos los resultados numéricos provienen de ejecuciones reales. Los fundamentos matemáticos se describen en el Manual Técnico.</w:t>
      </w:r>
      <w:bookmarkEnd w:id="9"/>
      <w:bookmarkEnd w:id="10"/>
    </w:p>
    <w:p>
      <w:pPr>
        <w:pStyle w:val="Heading1"/>
        <w:rPr/>
      </w:pPr>
      <w:bookmarkStart w:id="11" w:name="__RefHeading___Toc1935_196539785"/>
      <w:bookmarkStart w:id="12" w:name="instalación"/>
      <w:bookmarkEnd w:id="11"/>
      <w:r>
        <w:rPr/>
        <w:t>2. Instalación</w:t>
      </w:r>
    </w:p>
    <w:p>
      <w:pPr>
        <w:pStyle w:val="Heading2"/>
        <w:rPr/>
      </w:pPr>
      <w:bookmarkStart w:id="13" w:name="__RefHeading___Toc1937_196539785"/>
      <w:bookmarkStart w:id="14" w:name="opción-a-ejecutable-para-windows"/>
      <w:bookmarkEnd w:id="13"/>
      <w:r>
        <w:rPr/>
        <w:t>2.1 Opción A: ejecutable para Windows</w:t>
      </w:r>
    </w:p>
    <w:p>
      <w:pPr>
        <w:pStyle w:val="Compact"/>
        <w:numPr>
          <w:ilvl w:val="0"/>
          <w:numId w:val="7"/>
        </w:numPr>
        <w:rPr/>
      </w:pPr>
      <w:r>
        <w:rPr/>
        <w:t xml:space="preserve">Abra la página del repositorio https://github.com/fjburgosf/SensorTrustFusion y entre en la sección </w:t>
      </w:r>
      <w:r>
        <w:rPr>
          <w:b/>
          <w:bCs/>
        </w:rPr>
        <w:t>Releases</w:t>
      </w:r>
      <w:r>
        <w:rPr/>
        <w:t>.</w:t>
      </w:r>
    </w:p>
    <w:p>
      <w:pPr>
        <w:pStyle w:val="Compact"/>
        <w:numPr>
          <w:ilvl w:val="0"/>
          <w:numId w:val="1"/>
        </w:numPr>
        <w:rPr/>
      </w:pPr>
      <w:r>
        <w:rPr/>
        <w:t xml:space="preserve">Descargue </w:t>
      </w:r>
      <w:r>
        <w:rPr>
          <w:rStyle w:val="VerbatimChar"/>
        </w:rPr>
        <w:t>SensorTrustFusion-1.0.0-win64.exe</w:t>
      </w:r>
      <w:r>
        <w:rPr/>
        <w:t>.</w:t>
      </w:r>
    </w:p>
    <w:p>
      <w:pPr>
        <w:pStyle w:val="Compact"/>
        <w:numPr>
          <w:ilvl w:val="0"/>
          <w:numId w:val="1"/>
        </w:numPr>
        <w:rPr/>
      </w:pPr>
      <w:r>
        <w:rPr/>
        <w:t>Haga doble clic sobre el archivo. No se requiere instalar Python. Mientras el ejecutable descomprime sus componentes (algunos segundos en la primera apertura) se muestra una ventana de inicio con el nombre del programa y el texto «Cargando… / Loading…»; después se abre la ventana principal.</w:t>
      </w:r>
    </w:p>
    <w:p>
      <w:pPr>
        <w:pStyle w:val="FirstParagraph"/>
        <w:rPr/>
      </w:pPr>
      <w:r>
        <w:rPr/>
        <w:t xml:space="preserve">Con el ejecutable, los resultados se guardan por defecto en </w:t>
      </w:r>
      <w:r>
        <w:rPr>
          <w:rStyle w:val="VerbatimChar"/>
        </w:rPr>
        <w:t>Documentos\SensorTrustFusion\results</w:t>
      </w:r>
      <w:r>
        <w:rPr/>
        <w:t xml:space="preserve"> (la carpeta puede cambiarse en la pestaña </w:t>
      </w:r>
      <w:r>
        <w:rPr>
          <w:b/>
          <w:bCs/>
        </w:rPr>
        <w:t>Experimento</w:t>
      </w:r>
      <w:r>
        <w:rPr/>
        <w:t xml:space="preserve"> con </w:t>
      </w:r>
      <w:r>
        <w:rPr>
          <w:b/>
          <w:bCs/>
        </w:rPr>
        <w:t>Examinar…</w:t>
      </w:r>
      <w:r>
        <w:rPr/>
        <w:t xml:space="preserve">) y el registro de la sesión en </w:t>
      </w:r>
      <w:r>
        <w:rPr>
          <w:rStyle w:val="VerbatimChar"/>
        </w:rPr>
        <w:t>Documentos\SensorTrustFusion\sensortrust_gui.log</w:t>
      </w:r>
      <w:r>
        <w:rPr/>
        <w:t>.</w:t>
      </w:r>
    </w:p>
    <w:p>
      <w:pPr>
        <w:pStyle w:val="BodyText"/>
        <w:rPr/>
      </w:pPr>
      <w:bookmarkStart w:id="15" w:name="opción-a-ejecutable-para-windows"/>
      <w:r>
        <w:rPr/>
        <w:t>El ejecutable se compila en GitHub Actions a partir del código fuente del repositorio.</w:t>
      </w:r>
      <w:bookmarkEnd w:id="15"/>
    </w:p>
    <w:p>
      <w:pPr>
        <w:pStyle w:val="Heading2"/>
        <w:rPr/>
      </w:pPr>
      <w:bookmarkStart w:id="16" w:name="__RefHeading___Toc1939_196539785"/>
      <w:bookmarkStart w:id="17" w:name="Xcb1bc9c767f7007a2480885398bfde4bfe97d46"/>
      <w:bookmarkEnd w:id="16"/>
      <w:r>
        <w:rPr/>
        <w:t>2.2 Opción B: desde el código fuente (Windows, Linux o macOS)</w:t>
      </w:r>
    </w:p>
    <w:p>
      <w:pPr>
        <w:pStyle w:val="FirstParagraph"/>
        <w:rPr/>
      </w:pPr>
      <w:r>
        <w:rPr/>
        <w:t>Requisitos: Python 3.10 o superior. En una terminal ubicada en la carpeta del proyecto:</w:t>
      </w:r>
    </w:p>
    <w:p>
      <w:pPr>
        <w:pStyle w:val="SourceCode"/>
        <w:rPr/>
      </w:pPr>
      <w:r>
        <w:rPr>
          <w:rStyle w:val="VerbatimChar"/>
        </w:rPr>
        <w:t>python -m venv .venv</w:t>
      </w:r>
      <w:r>
        <w:rPr/>
        <w:br/>
      </w:r>
      <w:r>
        <w:rPr>
          <w:rStyle w:val="VerbatimChar"/>
        </w:rPr>
        <w:t>.venv\Scripts\activate          (Windows)</w:t>
      </w:r>
      <w:r>
        <w:rPr/>
        <w:br/>
      </w:r>
      <w:r>
        <w:rPr>
          <w:rStyle w:val="VerbatimChar"/>
        </w:rPr>
        <w:t>source .venv/bin/activate       (Linux / macOS)</w:t>
      </w:r>
      <w:r>
        <w:rPr/>
        <w:br/>
      </w:r>
      <w:r>
        <w:rPr>
          <w:rStyle w:val="VerbatimChar"/>
        </w:rPr>
        <w:t>pip install -r requirements.txt</w:t>
      </w:r>
      <w:r>
        <w:rPr/>
        <w:br/>
      </w:r>
      <w:r>
        <w:rPr>
          <w:rStyle w:val="VerbatimChar"/>
        </w:rPr>
        <w:t>pip install -e .</w:t>
      </w:r>
      <w:bookmarkEnd w:id="12"/>
      <w:bookmarkEnd w:id="17"/>
    </w:p>
    <w:p>
      <w:pPr>
        <w:pStyle w:val="Heading1"/>
        <w:rPr/>
      </w:pPr>
      <w:bookmarkStart w:id="18" w:name="__RefHeading___Toc1941_196539785"/>
      <w:bookmarkStart w:id="19" w:name="ejecución"/>
      <w:bookmarkEnd w:id="18"/>
      <w:r>
        <w:rPr/>
        <w:t>3. Ejecución</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504"/>
        <w:gridCol w:w="6127"/>
      </w:tblGrid>
      <w:tr>
        <w:trPr>
          <w:tblHeader w:val="true"/>
        </w:trPr>
        <w:tc>
          <w:tcPr>
            <w:tcW w:w="350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Acción</w:t>
            </w:r>
          </w:p>
        </w:tc>
        <w:tc>
          <w:tcPr>
            <w:tcW w:w="612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Comando</w:t>
            </w:r>
          </w:p>
        </w:tc>
      </w:tr>
      <w:tr>
        <w:trPr/>
        <w:tc>
          <w:tcPr>
            <w:tcW w:w="35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Abrir la interfaz gráfica</w:t>
            </w:r>
          </w:p>
        </w:tc>
        <w:tc>
          <w:tcPr>
            <w:tcW w:w="61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python -m sensortrust</w:t>
            </w:r>
          </w:p>
        </w:tc>
      </w:tr>
      <w:tr>
        <w:trPr/>
        <w:tc>
          <w:tcPr>
            <w:tcW w:w="35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Abrir la interfaz en español</w:t>
            </w:r>
          </w:p>
        </w:tc>
        <w:tc>
          <w:tcPr>
            <w:tcW w:w="61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python -m sensortrust gui --lang es</w:t>
            </w:r>
          </w:p>
        </w:tc>
      </w:tr>
      <w:tr>
        <w:trPr/>
        <w:tc>
          <w:tcPr>
            <w:tcW w:w="35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Ejecutar un experimento</w:t>
            </w:r>
          </w:p>
        </w:tc>
        <w:tc>
          <w:tcPr>
            <w:tcW w:w="61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python -m sensortrust run configs/abrupt_bias.yaml</w:t>
            </w:r>
          </w:p>
        </w:tc>
      </w:tr>
      <w:tr>
        <w:trPr/>
        <w:tc>
          <w:tcPr>
            <w:tcW w:w="35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Ejecutar todos los benchmarks</w:t>
            </w:r>
          </w:p>
        </w:tc>
        <w:tc>
          <w:tcPr>
            <w:tcW w:w="61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python -m sensortrust benchmark all</w:t>
            </w:r>
          </w:p>
        </w:tc>
      </w:tr>
      <w:tr>
        <w:trPr/>
        <w:tc>
          <w:tcPr>
            <w:tcW w:w="35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Monte Carlo</w:t>
            </w:r>
          </w:p>
        </w:tc>
        <w:tc>
          <w:tcPr>
            <w:tcW w:w="61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python -m sensortrust montecarlo configs/montecarlo_abrupt_bias.yaml</w:t>
            </w:r>
          </w:p>
        </w:tc>
      </w:tr>
      <w:tr>
        <w:trPr/>
        <w:tc>
          <w:tcPr>
            <w:tcW w:w="35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Verificar reproducibilidad</w:t>
            </w:r>
          </w:p>
        </w:tc>
        <w:tc>
          <w:tcPr>
            <w:tcW w:w="61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python -m sensortrust verify results/ST_EXP_2026_000001</w:t>
            </w:r>
          </w:p>
        </w:tc>
      </w:tr>
      <w:tr>
        <w:trPr/>
        <w:tc>
          <w:tcPr>
            <w:tcW w:w="35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Listar modelos, degradaciones y métodos</w:t>
            </w:r>
          </w:p>
        </w:tc>
        <w:tc>
          <w:tcPr>
            <w:tcW w:w="61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python -m sensortrust list</w:t>
            </w:r>
          </w:p>
        </w:tc>
      </w:tr>
    </w:tbl>
    <w:p>
      <w:pPr>
        <w:pStyle w:val="BodyText"/>
        <w:rPr/>
      </w:pPr>
      <w:r>
        <w:rPr/>
        <w:t xml:space="preserve">Con el ejecutable de Windows: doble clic abre la interfaz; desde una terminal, </w:t>
      </w:r>
      <w:r>
        <w:rPr>
          <w:rStyle w:val="VerbatimChar"/>
        </w:rPr>
        <w:t>SensorTrustFusion-1.0.0-win64.exe benchmark ST-BENCH-02</w:t>
      </w:r>
      <w:r>
        <w:rPr/>
        <w:t xml:space="preserve"> ejecuta un benchmark sin interfaz.</w:t>
      </w:r>
      <w:bookmarkEnd w:id="19"/>
    </w:p>
    <w:p>
      <w:pPr>
        <w:pStyle w:val="Heading1"/>
        <w:rPr/>
      </w:pPr>
      <w:bookmarkStart w:id="20" w:name="__RefHeading___Toc1943_196539785"/>
      <w:bookmarkStart w:id="21" w:name="interfaz"/>
      <w:bookmarkEnd w:id="20"/>
      <w:r>
        <w:rPr/>
        <w:t>4. Interfaz</w:t>
      </w:r>
    </w:p>
    <w:p>
      <w:pPr>
        <w:pStyle w:val="Heading2"/>
        <w:rPr/>
      </w:pPr>
      <w:bookmarkStart w:id="22" w:name="__RefHeading___Toc1945_196539785"/>
      <w:bookmarkStart w:id="23" w:name="ventana-principal"/>
      <w:bookmarkEnd w:id="22"/>
      <w:r>
        <w:rPr/>
        <w:t>4.1 Ventana principal</w:t>
      </w:r>
    </w:p>
    <w:p>
      <w:pPr>
        <w:pStyle w:val="CaptionedFigure"/>
        <w:jc w:val="center"/>
        <w:rPr/>
      </w:pPr>
      <w:r>
        <w:rPr/>
        <w:drawing>
          <wp:inline distT="0" distB="0" distL="0" distR="0">
            <wp:extent cx="5334000" cy="3378200"/>
            <wp:effectExtent l="0" t="0" r="0" b="0"/>
            <wp:docPr id="1" name="Picture" descr="Figura 1. Ventana principal de SensorTrust Fusion (interfaz en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a 1. Ventana principal de SensorTrust Fusion (interfaz en español)"/>
                    <pic:cNvPicPr>
                      <a:picLocks noChangeAspect="1" noChangeArrowheads="1"/>
                    </pic:cNvPicPr>
                  </pic:nvPicPr>
                  <pic:blipFill>
                    <a:blip r:embed="rId2"/>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1. Ventana principal de SensorTrust Fusion (interfaz en español)</w:t>
      </w:r>
    </w:p>
    <w:p>
      <w:pPr>
        <w:pStyle w:val="BodyText"/>
        <w:rPr/>
      </w:pPr>
      <w:r>
        <w:rPr/>
        <w:t>La ventana se organiza en:</w:t>
      </w:r>
    </w:p>
    <w:p>
      <w:pPr>
        <w:pStyle w:val="Compact"/>
        <w:numPr>
          <w:ilvl w:val="0"/>
          <w:numId w:val="2"/>
        </w:numPr>
        <w:rPr/>
      </w:pPr>
      <w:r>
        <w:rPr>
          <w:b/>
          <w:bCs/>
        </w:rPr>
        <w:t>Barra de menú:</w:t>
      </w:r>
      <w:r>
        <w:rPr/>
        <w:t xml:space="preserve"> </w:t>
      </w:r>
      <w:r>
        <w:rPr>
          <w:i/>
          <w:iCs/>
        </w:rPr>
        <w:t>Archivo</w:t>
      </w:r>
      <w:r>
        <w:rPr/>
        <w:t xml:space="preserve"> (abrir y guardar configuraciones YAML/JSON, salir) y </w:t>
      </w:r>
      <w:r>
        <w:rPr>
          <w:i/>
          <w:iCs/>
        </w:rPr>
        <w:t>Ayuda</w:t>
      </w:r>
      <w:r>
        <w:rPr/>
        <w:t xml:space="preserve"> (</w:t>
      </w:r>
      <w:r>
        <w:rPr>
          <w:b/>
          <w:bCs/>
        </w:rPr>
        <w:t>Guía rápida</w:t>
      </w:r>
      <w:r>
        <w:rPr/>
        <w:t xml:space="preserve"> con los pasos básicos, </w:t>
      </w:r>
      <w:r>
        <w:rPr>
          <w:b/>
          <w:bCs/>
        </w:rPr>
        <w:t>Manual de usuario</w:t>
      </w:r>
      <w:r>
        <w:rPr/>
        <w:t xml:space="preserve">, </w:t>
      </w:r>
      <w:r>
        <w:rPr>
          <w:b/>
          <w:bCs/>
        </w:rPr>
        <w:t>Manual técnico</w:t>
      </w:r>
      <w:r>
        <w:rPr/>
        <w:t xml:space="preserve"> y </w:t>
      </w:r>
      <w:r>
        <w:rPr>
          <w:b/>
          <w:bCs/>
        </w:rPr>
        <w:t>Acerca de</w:t>
      </w:r>
      <w:r>
        <w:rPr/>
        <w:t>). Los manuales se abren directamente desde el programa, también en el ejecutable de Windows.</w:t>
      </w:r>
    </w:p>
    <w:p>
      <w:pPr>
        <w:pStyle w:val="Compact"/>
        <w:numPr>
          <w:ilvl w:val="0"/>
          <w:numId w:val="2"/>
        </w:numPr>
        <w:rPr/>
      </w:pPr>
      <w:r>
        <w:rPr>
          <w:b/>
          <w:bCs/>
        </w:rPr>
        <w:t>Barra de herramientas:</w:t>
      </w:r>
      <w:r>
        <w:rPr/>
        <w:t xml:space="preserve"> nombre y versión (v1.0.0), selector de </w:t>
      </w:r>
      <w:r>
        <w:rPr>
          <w:b/>
          <w:bCs/>
        </w:rPr>
        <w:t>ejemplo científico</w:t>
      </w:r>
      <w:r>
        <w:rPr/>
        <w:t xml:space="preserve"> y botón </w:t>
      </w:r>
      <w:r>
        <w:rPr>
          <w:b/>
          <w:bCs/>
        </w:rPr>
        <w:t>Cargar</w:t>
      </w:r>
      <w:r>
        <w:rPr/>
        <w:t xml:space="preserve">, botón </w:t>
      </w:r>
      <w:r>
        <w:rPr>
          <w:b/>
          <w:bCs/>
        </w:rPr>
        <w:t>Ejecutar experimento</w:t>
      </w:r>
      <w:r>
        <w:rPr/>
        <w:t xml:space="preserve">, botón </w:t>
      </w:r>
      <w:r>
        <w:rPr>
          <w:b/>
          <w:bCs/>
        </w:rPr>
        <w:t>Cancelar</w:t>
      </w:r>
      <w:r>
        <w:rPr/>
        <w:t xml:space="preserve"> (estudios largos) y el botón de idioma </w:t>
      </w:r>
      <w:r>
        <w:rPr>
          <w:b/>
          <w:bCs/>
        </w:rPr>
        <w:t>[ES] | EN</w:t>
      </w:r>
      <w:r>
        <w:rPr/>
        <w:t>, que alterna toda la interfaz entre español e inglés.</w:t>
      </w:r>
    </w:p>
    <w:p>
      <w:pPr>
        <w:pStyle w:val="Compact"/>
        <w:numPr>
          <w:ilvl w:val="0"/>
          <w:numId w:val="2"/>
        </w:numPr>
        <w:rPr/>
      </w:pPr>
      <w:r>
        <w:rPr>
          <w:b/>
          <w:bCs/>
        </w:rPr>
        <w:t>Pestañas:</w:t>
      </w:r>
      <w:r>
        <w:rPr/>
        <w:t xml:space="preserve"> Sistema, Sensores, Degradación, Fusión, Confianza, Experimento, Monte Carlo, Análisis, Resultados, Comparar y Exportar.</w:t>
      </w:r>
    </w:p>
    <w:p>
      <w:pPr>
        <w:pStyle w:val="Compact"/>
        <w:numPr>
          <w:ilvl w:val="0"/>
          <w:numId w:val="2"/>
        </w:numPr>
        <w:rPr/>
      </w:pPr>
      <w:r>
        <w:rPr>
          <w:b/>
          <w:bCs/>
        </w:rPr>
        <w:t>Barra de estado:</w:t>
      </w:r>
      <w:r>
        <w:rPr/>
        <w:t xml:space="preserve"> mensajes, progreso y versión.</w:t>
      </w:r>
    </w:p>
    <w:p>
      <w:pPr>
        <w:pStyle w:val="Compact"/>
        <w:numPr>
          <w:ilvl w:val="0"/>
          <w:numId w:val="2"/>
        </w:numPr>
        <w:rPr/>
      </w:pPr>
      <w:r>
        <w:rPr>
          <w:b/>
          <w:bCs/>
        </w:rPr>
        <w:t>Explicaciones integradas:</w:t>
      </w:r>
      <w:r>
        <w:rPr/>
        <w:t xml:space="preserve"> cada pestaña comienza con un recuadro azul (ⓘ) que explica su función, y cada control (casilla, lista, campo o botón) muestra una ayuda al detener el cursor sobre él.</w:t>
      </w:r>
    </w:p>
    <w:p>
      <w:pPr>
        <w:pStyle w:val="FirstParagraph"/>
        <w:rPr/>
      </w:pPr>
      <w:bookmarkStart w:id="24" w:name="ventana-principal"/>
      <w:r>
        <w:rPr/>
        <w:t>Si se cierra la ventana mientras hay un cálculo en curso, el programa pregunta si desea detenerlo; en caso afirmativo cancela el cálculo de forma segura antes de cerrar.</w:t>
      </w:r>
      <w:bookmarkEnd w:id="24"/>
    </w:p>
    <w:p>
      <w:pPr>
        <w:pStyle w:val="Heading2"/>
        <w:rPr/>
      </w:pPr>
      <w:bookmarkStart w:id="25" w:name="__RefHeading___Toc1947_196539785"/>
      <w:bookmarkStart w:id="26" w:name="interfaz-bilingüe"/>
      <w:bookmarkEnd w:id="25"/>
      <w:r>
        <w:rPr/>
        <w:t>4.2 Interfaz bilingüe</w:t>
      </w:r>
    </w:p>
    <w:p>
      <w:pPr>
        <w:pStyle w:val="FirstParagraph"/>
        <w:rPr/>
      </w:pPr>
      <w:r>
        <w:rPr/>
        <w:t xml:space="preserve">El botón de idioma cambia inmediatamente todos los textos, etiquetas de parámetros, ayudas, nombres de métricas, mensajes de error y figuras. En la interfaz las métricas, los estados y los parámetros se muestran con nombres legibles (por ejemplo, «RMSE durante el fallo» o «S2: desviación del ruido»); los identificadores internos (claves de configuración y nombres de columnas de los archivos de resultados, como </w:t>
      </w:r>
      <w:r>
        <w:rPr>
          <w:rStyle w:val="VerbatimChar"/>
        </w:rPr>
        <w:t>rmse_during_fault</w:t>
      </w:r>
      <w:r>
        <w:rPr/>
        <w:t xml:space="preserve"> o </w:t>
      </w:r>
      <w:r>
        <w:rPr>
          <w:rStyle w:val="VerbatimChar"/>
        </w:rPr>
        <w:t>sensors[1].noise.std</w:t>
      </w:r>
      <w:r>
        <w:rPr/>
        <w:t>) permanecen en inglés para que los archivos sean independientes del idioma.</w:t>
      </w:r>
    </w:p>
    <w:p>
      <w:pPr>
        <w:pStyle w:val="CaptionedFigure"/>
        <w:jc w:val="center"/>
        <w:rPr/>
      </w:pPr>
      <w:r>
        <w:rPr/>
        <w:drawing>
          <wp:inline distT="0" distB="0" distL="0" distR="0">
            <wp:extent cx="5334000" cy="3378200"/>
            <wp:effectExtent l="0" t="0" r="0" b="0"/>
            <wp:docPr id="2" name="Image2" descr="Figura 2. La misma ventana con la interfaz en ingl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a 2. La misma ventana con la interfaz en inglés"/>
                    <pic:cNvPicPr>
                      <a:picLocks noChangeAspect="1" noChangeArrowheads="1"/>
                    </pic:cNvPicPr>
                  </pic:nvPicPr>
                  <pic:blipFill>
                    <a:blip r:embed="rId3"/>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2. La misma ventana con la interfaz en inglés</w:t>
      </w:r>
    </w:p>
    <w:p>
      <w:pPr>
        <w:pStyle w:val="BodyText"/>
        <w:rPr/>
      </w:pPr>
      <w:bookmarkStart w:id="27" w:name="interfaz"/>
      <w:bookmarkStart w:id="28" w:name="interfaz-bilingüe"/>
      <w:r>
        <w:rPr/>
        <w:t>Todos los parámetros se muestran con nombre descriptivo, símbolo y unidad (por ejemplo, «Factor de olvido EWMA lambda» o «Tasa de crecimiento del sesgo alpha [m/s]»), y al detener el cursor sobre ellos aparece una ayuda.</w:t>
      </w:r>
      <w:bookmarkEnd w:id="27"/>
      <w:bookmarkEnd w:id="28"/>
    </w:p>
    <w:p>
      <w:pPr>
        <w:pStyle w:val="Heading1"/>
        <w:rPr/>
      </w:pPr>
      <w:bookmarkStart w:id="29" w:name="__RefHeading___Toc1949_196539785"/>
      <w:bookmarkStart w:id="30" w:name="configuración-del-sistema"/>
      <w:bookmarkEnd w:id="29"/>
      <w:r>
        <w:rPr/>
        <w:t>5. Configuración del sistema</w:t>
      </w:r>
    </w:p>
    <w:p>
      <w:pPr>
        <w:pStyle w:val="FirstParagraph"/>
        <w:rPr/>
      </w:pPr>
      <w:r>
        <w:rPr/>
        <w:t xml:space="preserve">La pestaña </w:t>
      </w:r>
      <w:r>
        <w:rPr>
          <w:b/>
          <w:bCs/>
        </w:rPr>
        <w:t>Sistema</w:t>
      </w:r>
      <w:r>
        <w:rPr/>
        <w:t xml:space="preserve"> define el modelo dinámico y el experimento temporal.</w:t>
      </w:r>
    </w:p>
    <w:p>
      <w:pPr>
        <w:pStyle w:val="CaptionedFigure"/>
        <w:jc w:val="center"/>
        <w:rPr/>
      </w:pPr>
      <w:r>
        <w:rPr/>
        <w:drawing>
          <wp:inline distT="0" distB="0" distL="0" distR="0">
            <wp:extent cx="5334000" cy="3378200"/>
            <wp:effectExtent l="0" t="0" r="0" b="0"/>
            <wp:docPr id="3" name="Image3" descr="Figura 3. Pestaña Sistema: estado inicial, incertidumbre, ruido de proceso y evalu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a 3. Pestaña Sistema: estado inicial, incertidumbre, ruido de proceso y evaluación"/>
                    <pic:cNvPicPr>
                      <a:picLocks noChangeAspect="1" noChangeArrowheads="1"/>
                    </pic:cNvPicPr>
                  </pic:nvPicPr>
                  <pic:blipFill>
                    <a:blip r:embed="rId4"/>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3. Pestaña Sistema: estado inicial, incertidumbre, ruido de proceso y evaluación</w:t>
      </w:r>
    </w:p>
    <w:p>
      <w:pPr>
        <w:pStyle w:val="Compact"/>
        <w:numPr>
          <w:ilvl w:val="0"/>
          <w:numId w:val="8"/>
        </w:numPr>
        <w:rPr/>
      </w:pPr>
      <w:r>
        <w:rPr>
          <w:b/>
          <w:bCs/>
        </w:rPr>
        <w:t>Modelo dinámico:</w:t>
      </w:r>
      <w:r>
        <w:rPr/>
        <w:t xml:space="preserve"> seleccione uno de los seis modelos (señal escalar, velocidad constante, aceleración constante, oscilador masa–resorte–amortiguador, sistema térmico, péndulo no lineal) o el modelo lineal personalizado (matrices en YAML).</w:t>
      </w:r>
    </w:p>
    <w:p>
      <w:pPr>
        <w:pStyle w:val="Compact"/>
        <w:numPr>
          <w:ilvl w:val="0"/>
          <w:numId w:val="9"/>
        </w:numPr>
        <w:rPr/>
      </w:pPr>
      <w:r>
        <w:rPr>
          <w:b/>
          <w:bCs/>
        </w:rPr>
        <w:t>Parámetros del modelo:</w:t>
      </w:r>
      <w:r>
        <w:rPr/>
        <w:t xml:space="preserve"> cada parámetro aparece con su nombre y unidad (por ejemplo, «DEP del ruido de aceleración q [m</w:t>
      </w:r>
      <w:r>
        <w:rPr>
          <w:vertAlign w:val="superscript"/>
        </w:rPr>
        <w:t>2/s</w:t>
      </w:r>
      <w:r>
        <w:rPr/>
        <w:t>3]»).</w:t>
      </w:r>
    </w:p>
    <w:p>
      <w:pPr>
        <w:pStyle w:val="Compact"/>
        <w:numPr>
          <w:ilvl w:val="0"/>
          <w:numId w:val="10"/>
        </w:numPr>
        <w:rPr/>
      </w:pPr>
      <w:r>
        <w:rPr>
          <w:b/>
          <w:bCs/>
        </w:rPr>
        <w:t>Horizonte de simulación:</w:t>
      </w:r>
      <w:r>
        <w:rPr/>
        <w:t xml:space="preserve"> duración [s] y frecuencia de muestreo [Hz]; se muestra el periodo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t>.</w:t>
      </w:r>
    </w:p>
    <w:p>
      <w:pPr>
        <w:pStyle w:val="Compact"/>
        <w:numPr>
          <w:ilvl w:val="0"/>
          <w:numId w:val="11"/>
        </w:numPr>
        <w:rPr/>
      </w:pPr>
      <w:r>
        <w:rPr>
          <w:b/>
          <w:bCs/>
        </w:rPr>
        <w:t>Estado inicial e incertidumbre:</w:t>
      </w:r>
      <w:r>
        <w:rPr/>
        <w:t xml:space="preserve"> media verdadera </w:t>
      </w:r>
      <w:r>
        <w:rPr/>
      </w:r>
      <m:oMath xmlns:m="http://schemas.openxmlformats.org/officeDocument/2006/math">
        <m:sSub>
          <m:e>
            <m:r>
              <w:rPr>
                <w:rFonts w:ascii="Cambria Math" w:hAnsi="Cambria Math"/>
              </w:rPr>
              <m:t xml:space="preserve">x</m:t>
            </m:r>
          </m:e>
          <m:sub>
            <m:r>
              <w:rPr>
                <w:rFonts w:ascii="Cambria Math" w:hAnsi="Cambria Math"/>
              </w:rPr>
              <m:t xml:space="preserve">0</m:t>
            </m:r>
          </m:sub>
        </m:sSub>
      </m:oMath>
      <w:r>
        <w:rPr/>
        <w:t xml:space="preserve">, desviación inicial, media y desviación a priori del estimador; opción de muestrear el estado inicial verdadero de </w:t>
      </w:r>
      <w:r>
        <w:rPr/>
      </w:r>
      <m:oMath xmlns:m="http://schemas.openxmlformats.org/officeDocument/2006/math">
        <m:r>
          <w:rPr>
            <w:rFonts w:ascii="Cambria Math" w:hAnsi="Cambria Math"/>
          </w:rPr>
          <m:t xml:space="preserve">N</m:t>
        </m:r>
        <m:r>
          <w:rPr>
            <w:rFonts w:ascii="Cambria Math" w:hAnsi="Cambria Math"/>
          </w:rPr>
          <m:t xml:space="preserve">(</m:t>
        </m:r>
        <m:sSub>
          <m:e>
            <m:r>
              <w:rPr>
                <w:rFonts w:ascii="Cambria Math" w:hAnsi="Cambria Math"/>
              </w:rPr>
              <m:t xml:space="preserve">x</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0</m:t>
            </m:r>
          </m:sub>
        </m:sSub>
        <m:r>
          <w:rPr>
            <w:rFonts w:ascii="Cambria Math" w:hAnsi="Cambria Math"/>
          </w:rPr>
          <m:t xml:space="preserve">)</m:t>
        </m:r>
      </m:oMath>
      <w:r>
        <w:rPr/>
        <w:t>.</w:t>
      </w:r>
    </w:p>
    <w:p>
      <w:pPr>
        <w:pStyle w:val="Compact"/>
        <w:numPr>
          <w:ilvl w:val="0"/>
          <w:numId w:val="12"/>
        </w:numPr>
        <w:rPr/>
      </w:pPr>
      <w:r>
        <w:rPr>
          <w:b/>
          <w:bCs/>
        </w:rPr>
        <w:t>Covarianza del ruido de proceso Q:</w:t>
      </w:r>
      <w:r>
        <w:rPr/>
        <w:t xml:space="preserve"> calculada automáticamente a partir del modelo.</w:t>
      </w:r>
    </w:p>
    <w:p>
      <w:pPr>
        <w:pStyle w:val="Compact"/>
        <w:numPr>
          <w:ilvl w:val="0"/>
          <w:numId w:val="13"/>
        </w:numPr>
        <w:rPr/>
      </w:pPr>
      <w:r>
        <w:rPr>
          <w:b/>
          <w:bCs/>
        </w:rPr>
        <w:t>Evaluación:</w:t>
      </w:r>
      <w:r>
        <w:rPr/>
        <w:t xml:space="preserve"> estado evaluado por las métricas, calentamiento excluido, especificación de RMSE (criterio de éxito) y umbrales de respuesta y recuperación de la confianza.</w:t>
      </w:r>
      <w:bookmarkEnd w:id="30"/>
    </w:p>
    <w:p>
      <w:pPr>
        <w:pStyle w:val="Heading1"/>
        <w:rPr/>
      </w:pPr>
      <w:bookmarkStart w:id="31" w:name="__RefHeading___Toc1951_196539785"/>
      <w:bookmarkStart w:id="32" w:name="creación-de-sensores"/>
      <w:bookmarkEnd w:id="31"/>
      <w:r>
        <w:rPr/>
        <w:t>6. Creación de sensores</w:t>
      </w:r>
    </w:p>
    <w:p>
      <w:pPr>
        <w:pStyle w:val="CaptionedFigure"/>
        <w:jc w:val="center"/>
        <w:rPr/>
      </w:pPr>
      <w:r>
        <w:rPr/>
        <w:drawing>
          <wp:inline distT="0" distB="0" distL="0" distR="0">
            <wp:extent cx="5334000" cy="3378200"/>
            <wp:effectExtent l="0" t="0" r="0" b="0"/>
            <wp:docPr id="4" name="Image4" descr="Figura 4. Pestaña Sensores con el sensor S2 selecc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a 4. Pestaña Sensores con el sensor S2 seleccionado"/>
                    <pic:cNvPicPr>
                      <a:picLocks noChangeAspect="1" noChangeArrowheads="1"/>
                    </pic:cNvPicPr>
                  </pic:nvPicPr>
                  <pic:blipFill>
                    <a:blip r:embed="rId5"/>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4. Pestaña Sensores con el sensor S2 seleccionado</w:t>
      </w:r>
    </w:p>
    <w:p>
      <w:pPr>
        <w:pStyle w:val="Compact"/>
        <w:numPr>
          <w:ilvl w:val="0"/>
          <w:numId w:val="14"/>
        </w:numPr>
        <w:rPr/>
      </w:pPr>
      <w:r>
        <w:rPr/>
        <w:t xml:space="preserve">Use </w:t>
      </w:r>
      <w:r>
        <w:rPr>
          <w:b/>
          <w:bCs/>
        </w:rPr>
        <w:t>Agregar sensor</w:t>
      </w:r>
      <w:r>
        <w:rPr/>
        <w:t xml:space="preserve">, </w:t>
      </w:r>
      <w:r>
        <w:rPr>
          <w:b/>
          <w:bCs/>
        </w:rPr>
        <w:t>Duplicar sensor</w:t>
      </w:r>
      <w:r>
        <w:rPr/>
        <w:t xml:space="preserve"> o </w:t>
      </w:r>
      <w:r>
        <w:rPr>
          <w:b/>
          <w:bCs/>
        </w:rPr>
        <w:t>Eliminar sensor</w:t>
      </w:r>
      <w:r>
        <w:rPr/>
        <w:t>. No existe un límite de sensores; el experimento requiere al menos uno, por lo que el último sensor no puede eliminarse.</w:t>
      </w:r>
    </w:p>
    <w:p>
      <w:pPr>
        <w:pStyle w:val="Compact"/>
        <w:numPr>
          <w:ilvl w:val="0"/>
          <w:numId w:val="15"/>
        </w:numPr>
        <w:rPr/>
      </w:pPr>
      <w:r>
        <w:rPr/>
        <w:t>Seleccione un sensor en la tabla y edite: nombre, variable medida (estado o función de medición no lineal), frecuencia [Hz] y modelo de ruido (gaussiano, uniforme, variante en el tiempo, dependiente del tiempo, heterocedástico, correlacionado AR(1), en ráfagas, impulsivo) con sus parámetros.</w:t>
      </w:r>
    </w:p>
    <w:p>
      <w:pPr>
        <w:pStyle w:val="Compact"/>
        <w:numPr>
          <w:ilvl w:val="0"/>
          <w:numId w:val="16"/>
        </w:numPr>
        <w:rPr/>
      </w:pPr>
      <w:r>
        <w:rPr/>
        <w:t xml:space="preserve">En </w:t>
      </w:r>
      <w:r>
        <w:rPr>
          <w:b/>
          <w:bCs/>
        </w:rPr>
        <w:t>Características del sensor</w:t>
      </w:r>
      <w:r>
        <w:rPr/>
        <w:t xml:space="preserve"> configure sesgo nominal no compensado, resolución, rango (saturación), retardo, probabilidad nominal de pérdida, confiabilidad nominal </w:t>
      </w:r>
      <w:r>
        <w:rPr/>
      </w:r>
      <m:oMath xmlns:m="http://schemas.openxmlformats.org/officeDocument/2006/math">
        <m:sSup>
          <m:e>
            <m:r>
              <w:rPr>
                <w:rFonts w:ascii="Cambria Math" w:hAnsi="Cambria Math"/>
              </w:rPr>
              <m:t xml:space="preserve">ρ</m:t>
            </m:r>
          </m:e>
          <m:sup>
            <m:r>
              <w:rPr>
                <w:rFonts w:ascii="Cambria Math" w:hAnsi="Cambria Math"/>
              </w:rPr>
              <m:t xml:space="preserve">0</m:t>
            </m:r>
          </m:sup>
        </m:sSup>
      </m:oMath>
      <w:r>
        <w:rPr/>
        <w:t xml:space="preserve"> y, opcionalmente, la desviación supuesta por los estimadores (para estudiar desajustes de modelo).</w:t>
      </w:r>
      <w:bookmarkEnd w:id="32"/>
    </w:p>
    <w:p>
      <w:pPr>
        <w:pStyle w:val="Heading1"/>
        <w:rPr/>
      </w:pPr>
      <w:bookmarkStart w:id="33" w:name="__RefHeading___Toc1953_196539785"/>
      <w:bookmarkStart w:id="34" w:name="configuración-de-degradaciones"/>
      <w:bookmarkEnd w:id="33"/>
      <w:r>
        <w:rPr/>
        <w:t>7. Configuración de degradaciones</w:t>
      </w:r>
    </w:p>
    <w:p>
      <w:pPr>
        <w:pStyle w:val="CaptionedFigure"/>
        <w:jc w:val="center"/>
        <w:rPr/>
      </w:pPr>
      <w:r>
        <w:rPr/>
        <w:drawing>
          <wp:inline distT="0" distB="0" distL="0" distR="0">
            <wp:extent cx="5334000" cy="3378200"/>
            <wp:effectExtent l="0" t="0" r="0" b="0"/>
            <wp:docPr id="5" name="Image5" descr="Figura 5. Pestaña Degradación: sesgo progresivo en S2 con su vista pre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a 5. Pestaña Degradación: sesgo progresivo en S2 con su vista previa"/>
                    <pic:cNvPicPr>
                      <a:picLocks noChangeAspect="1" noChangeArrowheads="1"/>
                    </pic:cNvPicPr>
                  </pic:nvPicPr>
                  <pic:blipFill>
                    <a:blip r:embed="rId6"/>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5. Pestaña Degradación: sesgo progresivo en S2 con su vista previa</w:t>
      </w:r>
    </w:p>
    <w:p>
      <w:pPr>
        <w:pStyle w:val="Compact"/>
        <w:numPr>
          <w:ilvl w:val="0"/>
          <w:numId w:val="17"/>
        </w:numPr>
        <w:rPr/>
      </w:pPr>
      <w:r>
        <w:rPr/>
        <w:t xml:space="preserve">Seleccione el </w:t>
      </w:r>
      <w:r>
        <w:rPr>
          <w:b/>
          <w:bCs/>
        </w:rPr>
        <w:t>sensor</w:t>
      </w:r>
      <w:r>
        <w:rPr/>
        <w:t>.</w:t>
      </w:r>
    </w:p>
    <w:p>
      <w:pPr>
        <w:pStyle w:val="Compact"/>
        <w:numPr>
          <w:ilvl w:val="0"/>
          <w:numId w:val="18"/>
        </w:numPr>
        <w:rPr/>
      </w:pPr>
      <w:r>
        <w:rPr/>
        <w:t xml:space="preserve">Pulse </w:t>
      </w:r>
      <w:r>
        <w:rPr>
          <w:b/>
          <w:bCs/>
        </w:rPr>
        <w:t>Agregar degradación</w:t>
      </w:r>
      <w:r>
        <w:rPr/>
        <w:t xml:space="preserve"> y elija el </w:t>
      </w:r>
      <w:r>
        <w:rPr>
          <w:b/>
          <w:bCs/>
        </w:rPr>
        <w:t>tipo</w:t>
      </w:r>
      <w:r>
        <w:rPr/>
        <w:t>: sesgo constante, sesgo progresivo, deriva, deriva de caminata aleatoria, periódica, fallo intermitente, varianza creciente, fallo en ráfagas, valores atípicos, pérdida de sensibilidad, saturación, cuantización, sensor congelado, pérdida de muestras o pérdida de paquetes. Cada sensor puede tener varias degradaciones (fallo combinado).</w:t>
      </w:r>
    </w:p>
    <w:p>
      <w:pPr>
        <w:pStyle w:val="Compact"/>
        <w:numPr>
          <w:ilvl w:val="0"/>
          <w:numId w:val="19"/>
        </w:numPr>
        <w:rPr/>
      </w:pPr>
      <w:r>
        <w:rPr/>
        <w:t xml:space="preserve">Ajuste la </w:t>
      </w:r>
      <w:r>
        <w:rPr>
          <w:b/>
          <w:bCs/>
        </w:rPr>
        <w:t>severidad</w:t>
      </w:r>
      <w:r>
        <w:rPr/>
        <w:t xml:space="preserve"> (con su unidad) y los parámetros propios del tipo.</w:t>
      </w:r>
    </w:p>
    <w:p>
      <w:pPr>
        <w:pStyle w:val="Compact"/>
        <w:numPr>
          <w:ilvl w:val="0"/>
          <w:numId w:val="20"/>
        </w:numPr>
        <w:rPr/>
      </w:pPr>
      <w:r>
        <w:rPr/>
        <w:t xml:space="preserve">Elija el </w:t>
      </w:r>
      <w:r>
        <w:rPr>
          <w:b/>
          <w:bCs/>
        </w:rPr>
        <w:t>perfil temporal</w:t>
      </w:r>
      <w:r>
        <w:rPr/>
        <w:t xml:space="preserve"> (escalón, rampa, exponencial, sigmoide, sinusoidal, caminata aleatoria, intermitente, recuperación) y configure el instante de inicio, el tiempo de transición y, si el sensor se recupera, el instante, la duración y la forma de la recuperación.</w:t>
      </w:r>
    </w:p>
    <w:p>
      <w:pPr>
        <w:pStyle w:val="Compact"/>
        <w:numPr>
          <w:ilvl w:val="0"/>
          <w:numId w:val="21"/>
        </w:numPr>
        <w:rPr/>
      </w:pPr>
      <w:r>
        <w:rPr/>
        <w:t xml:space="preserve">La </w:t>
      </w:r>
      <w:r>
        <w:rPr>
          <w:b/>
          <w:bCs/>
        </w:rPr>
        <w:t>vista previa</w:t>
      </w:r>
      <w:r>
        <w:rPr/>
        <w:t xml:space="preserve"> se calcula con el motor real de degradación: muestra la medición degradada sin ruido frente al valor verdadero, la activación </w:t>
      </w:r>
      <w:r>
        <w:rPr/>
      </w:r>
      <m:oMath xmlns:m="http://schemas.openxmlformats.org/officeDocument/2006/math">
        <m:r>
          <w:rPr>
            <w:rFonts w:ascii="Cambria Math" w:hAnsi="Cambria Math"/>
          </w:rPr>
          <m:t xml:space="preserve">g</m:t>
        </m:r>
        <m:r>
          <w:rPr>
            <w:rFonts w:ascii="Cambria Math" w:hAnsi="Cambria Math"/>
          </w:rPr>
          <m:t xml:space="preserve">(</m:t>
        </m:r>
        <m:r>
          <w:rPr>
            <w:rFonts w:ascii="Cambria Math" w:hAnsi="Cambria Math"/>
          </w:rPr>
          <m:t xml:space="preserve">t</m:t>
        </m:r>
        <m:r>
          <w:rPr>
            <w:rFonts w:ascii="Cambria Math" w:hAnsi="Cambria Math"/>
          </w:rPr>
          <m:t xml:space="preserve">)</m:t>
        </m:r>
      </m:oMath>
      <w:r>
        <w:rPr/>
        <w:t xml:space="preserve"> y el error sistemático y la desviación del ruido verdaderos.</w:t>
      </w:r>
      <w:bookmarkEnd w:id="34"/>
    </w:p>
    <w:p>
      <w:pPr>
        <w:pStyle w:val="Heading1"/>
        <w:rPr/>
      </w:pPr>
      <w:bookmarkStart w:id="35" w:name="__RefHeading___Toc1955_196539785"/>
      <w:bookmarkStart w:id="36" w:name="selección-de-métodos"/>
      <w:bookmarkEnd w:id="35"/>
      <w:r>
        <w:rPr/>
        <w:t>8. Selección de métodos</w:t>
      </w:r>
    </w:p>
    <w:p>
      <w:pPr>
        <w:pStyle w:val="CaptionedFigure"/>
        <w:jc w:val="center"/>
        <w:rPr/>
      </w:pPr>
      <w:r>
        <w:rPr/>
        <w:drawing>
          <wp:inline distT="0" distB="0" distL="0" distR="0">
            <wp:extent cx="5334000" cy="3378200"/>
            <wp:effectExtent l="0" t="0" r="0" b="0"/>
            <wp:docPr id="6" name="Image6" descr="Figura 6. Pestaña Fusión: métodos disponibles con categoría y descri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a 6. Pestaña Fusión: métodos disponibles con categoría y descripción"/>
                    <pic:cNvPicPr>
                      <a:picLocks noChangeAspect="1" noChangeArrowheads="1"/>
                    </pic:cNvPicPr>
                  </pic:nvPicPr>
                  <pic:blipFill>
                    <a:blip r:embed="rId7"/>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6. Pestaña Fusión: métodos disponibles con categoría y descripción</w:t>
      </w:r>
    </w:p>
    <w:p>
      <w:pPr>
        <w:pStyle w:val="BodyText"/>
        <w:rPr/>
      </w:pPr>
      <w:r>
        <w:rPr/>
        <w:t xml:space="preserve">Marque los métodos a ejecutar. Todos se ejecutan sobre </w:t>
      </w:r>
      <w:r>
        <w:rPr>
          <w:b/>
          <w:bCs/>
        </w:rPr>
        <w:t>exactamente el mismo</w:t>
      </w:r>
      <w:r>
        <w:rPr/>
        <w:t xml:space="preserve"> conjunto de mediciones. Disponibles: promedio simple, promedio ponderado fijo, inverso de varianza, mejor sensor (oráculo), filtro de Kalman con R nominal (caso A), KF con R verdadera (oráculo, caso B), KF adaptativo Sage–Husa (caso C), SensorTrust KF (caso D), ablaciones de primer y segundo momento, KF con compuerta NIS, KF de un solo sensor, EKF, EKF adaptativo, SensorTrust EKF, UKF, SensorTrust UKF, fusión a nivel de estimaciones por intersección de covarianzas con pesos iguales o de confianza. Los métodos </w:t>
      </w:r>
      <w:r>
        <w:rPr>
          <w:b/>
          <w:bCs/>
        </w:rPr>
        <w:t>oráculo</w:t>
      </w:r>
      <w:r>
        <w:rPr/>
        <w:t xml:space="preserve"> usan información verdadera y solo sirven como referencia ideal. El botón </w:t>
      </w:r>
      <w:r>
        <w:rPr>
          <w:b/>
          <w:bCs/>
        </w:rPr>
        <w:t>Conjunto recomendado</w:t>
      </w:r>
      <w:r>
        <w:rPr/>
        <w:t xml:space="preserve"> marca siete métodos de comparación. Para el </w:t>
      </w:r>
      <w:r>
        <w:rPr>
          <w:b/>
          <w:bCs/>
        </w:rPr>
        <w:t>promedio ponderado fijo</w:t>
      </w:r>
      <w:r>
        <w:rPr/>
        <w:t xml:space="preserve"> se escribe un peso por sensor, separados por coma (el número de pesos debe coincidir con el número de sensores). Si un método no es aplicable al escenario (por ejemplo, un filtro de Kalman lineal con el péndulo no lineal), no se ejecuta y la pestaña </w:t>
      </w:r>
      <w:r>
        <w:rPr>
          <w:b/>
          <w:bCs/>
        </w:rPr>
        <w:t>Resultados</w:t>
      </w:r>
      <w:r>
        <w:rPr/>
        <w:t xml:space="preserve"> muestra un aviso con el motivo.</w:t>
      </w:r>
      <w:bookmarkEnd w:id="36"/>
    </w:p>
    <w:p>
      <w:pPr>
        <w:pStyle w:val="Heading1"/>
        <w:rPr/>
      </w:pPr>
      <w:bookmarkStart w:id="37" w:name="__RefHeading___Toc1957_196539785"/>
      <w:bookmarkStart w:id="38" w:name="configuración-de-sensortrust"/>
      <w:bookmarkEnd w:id="37"/>
      <w:r>
        <w:rPr/>
        <w:t>9. Configuración de SensorTrust</w:t>
      </w:r>
    </w:p>
    <w:p>
      <w:pPr>
        <w:pStyle w:val="CaptionedFigure"/>
        <w:jc w:val="center"/>
        <w:rPr/>
      </w:pPr>
      <w:r>
        <w:rPr/>
        <w:drawing>
          <wp:inline distT="0" distB="0" distL="0" distR="0">
            <wp:extent cx="5334000" cy="3378200"/>
            <wp:effectExtent l="0" t="0" r="0" b="0"/>
            <wp:docPr id="7" name="Image7" descr="Figura 7. Pestaña Confianza: parámetros del estimador de los dos primeros momentos, detector y compuerta de inno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a 7. Pestaña Confianza: parámetros del estimador de los dos primeros momentos, detector y compuerta de innovación"/>
                    <pic:cNvPicPr>
                      <a:picLocks noChangeAspect="1" noChangeArrowheads="1"/>
                    </pic:cNvPicPr>
                  </pic:nvPicPr>
                  <pic:blipFill>
                    <a:blip r:embed="rId8"/>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7. Pestaña Confianza: parámetros del estimador de los dos primeros momentos, detector y compuerta de innovación</w:t>
      </w:r>
    </w:p>
    <w:p>
      <w:pPr>
        <w:pStyle w:val="BodyText"/>
        <w:rPr/>
      </w:pPr>
      <w:r>
        <w:rPr/>
        <w:t xml:space="preserve">La pestaña </w:t>
      </w:r>
      <w:r>
        <w:rPr>
          <w:b/>
          <w:bCs/>
        </w:rPr>
        <w:t>Confianza</w:t>
      </w:r>
      <w:r>
        <w:rPr/>
        <w:t xml:space="preserve"> configura el estimador de confianza de los dos primeros momentos de la innovación, que usan todos los métodos SensorTrust:</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774"/>
        <w:gridCol w:w="5857"/>
      </w:tblGrid>
      <w:tr>
        <w:trPr>
          <w:tblHeader w:val="true"/>
        </w:trPr>
        <w:tc>
          <w:tcPr>
            <w:tcW w:w="377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Parámetro</w:t>
            </w:r>
          </w:p>
        </w:tc>
        <w:tc>
          <w:tcPr>
            <w:tcW w:w="585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Efecto</w:t>
            </w:r>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Estimador de momentos</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EWMA, ventana deslizante o media recursiva</w:t>
            </w:r>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Factor de olvido EWMA lambda</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memoria del estimador; </w:t>
            </w:r>
            <w:r>
              <w:rPr>
                <w:rFonts w:eastAsia="" w:cs=""/>
                <w:kern w:val="0"/>
                <w:szCs w:val="24"/>
                <w:lang w:val="en-US" w:eastAsia="zh-CN" w:bidi="ar-SA"/>
              </w:rPr>
            </w:r>
            <m:oMath xmlns:m="http://schemas.openxmlformats.org/officeDocument/2006/math">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f>
                <m:fPr>
                  <m:type m:val="lin"/>
                </m:fPr>
                <m:num>
                  <m:r>
                    <w:rPr>
                      <w:rFonts w:ascii="Cambria Math" w:hAnsi="Cambria Math"/>
                    </w:rPr>
                    <m:t xml:space="preserve">)</m:t>
                  </m:r>
                </m:num>
                <m:den>
                  <m:r>
                    <w:rPr>
                      <w:rFonts w:ascii="Cambria Math" w:hAnsi="Cambria Math"/>
                    </w:rPr>
                    <m:t xml:space="preserve">(</m:t>
                  </m:r>
                </m:den>
              </m:f>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oMath>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Zonas muertas gamma1 / gamma2</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desviaciones toleradas antes de reducir la confianza</w:t>
            </w:r>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Escalas beta1 / beta2</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exceso de media o de varianza que divide la confianza por </w:t>
            </w:r>
            <w:r>
              <w:rPr>
                <w:rFonts w:eastAsia="" w:cs=""/>
                <w:kern w:val="0"/>
                <w:szCs w:val="24"/>
                <w:lang w:val="en-US" w:eastAsia="zh-CN" w:bidi="ar-SA"/>
              </w:rPr>
            </w:r>
            <m:oMath xmlns:m="http://schemas.openxmlformats.org/officeDocument/2006/math">
              <m:r>
                <w:rPr>
                  <w:rFonts w:ascii="Cambria Math" w:hAnsi="Cambria Math"/>
                </w:rPr>
                <m:t xml:space="preserve">e</m:t>
              </m:r>
            </m:oMath>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Tasas eta_down / eta_up</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rapidez de disminución y de recuperación de la confianza</w:t>
            </w:r>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Confianza mínima T_min</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límite inferior de la confianza</w:t>
            </w:r>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Usar primer / segundo momento</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permite ablaciones</w:t>
            </w:r>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Estadístico de dispersión</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varianza (separa sesgo de ruido) o segundo momento</w:t>
            </w:r>
          </w:p>
        </w:tc>
      </w:tr>
      <w:tr>
        <w:trPr/>
        <w:tc>
          <w:tcPr>
            <w:tcW w:w="37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Referencia de consenso</w:t>
            </w:r>
          </w:p>
        </w:tc>
        <w:tc>
          <w:tcPr>
            <w:tcW w:w="58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compara cada sensor con la mediana de los sensores redundantes confiables</w:t>
            </w:r>
          </w:p>
        </w:tc>
      </w:tr>
    </w:tbl>
    <w:p>
      <w:pPr>
        <w:pStyle w:val="BodyText"/>
        <w:rPr/>
      </w:pPr>
      <w:r>
        <w:rPr/>
        <w:t xml:space="preserve">El </w:t>
      </w:r>
      <w:r>
        <w:rPr>
          <w:b/>
          <w:bCs/>
        </w:rPr>
        <w:t>detector de degradación</w:t>
      </w:r>
      <w:r>
        <w:rPr/>
        <w:t xml:space="preserve"> declara alarmas con pruebas chi-cuadrado sobre los mismos momentos (nivel de significancia y muestras consecutivas para activar y desactivar) o con umbrales de confianza. La </w:t>
      </w:r>
      <w:r>
        <w:rPr>
          <w:b/>
          <w:bCs/>
        </w:rPr>
        <w:t>compuerta de innovación</w:t>
      </w:r>
      <w:r>
        <w:rPr/>
        <w:t xml:space="preserve"> excluye de la actualización las muestras estadísticamente imposibles. El panel </w:t>
      </w:r>
      <w:r>
        <w:rPr>
          <w:b/>
          <w:bCs/>
        </w:rPr>
        <w:t>Cómo funciona</w:t>
      </w:r>
      <w:r>
        <w:rPr/>
        <w:t xml:space="preserve"> resume las ecuaciones; </w:t>
      </w:r>
      <w:r>
        <w:rPr>
          <w:b/>
          <w:bCs/>
        </w:rPr>
        <w:t>Restaurar valores por defecto</w:t>
      </w:r>
      <w:r>
        <w:rPr/>
        <w:t xml:space="preserve"> recupera la configuración de referencia.</w:t>
      </w:r>
      <w:bookmarkEnd w:id="38"/>
    </w:p>
    <w:p>
      <w:pPr>
        <w:pStyle w:val="Heading1"/>
        <w:rPr/>
      </w:pPr>
      <w:bookmarkStart w:id="39" w:name="__RefHeading___Toc1959_196539785"/>
      <w:bookmarkStart w:id="40" w:name="ejecución-1"/>
      <w:bookmarkEnd w:id="39"/>
      <w:r>
        <w:rPr/>
        <w:t>10. Ejecución</w:t>
      </w:r>
    </w:p>
    <w:p>
      <w:pPr>
        <w:pStyle w:val="FirstParagraph"/>
        <w:rPr/>
      </w:pPr>
      <w:r>
        <w:rPr/>
        <w:t xml:space="preserve">La pestaña </w:t>
      </w:r>
      <w:r>
        <w:rPr>
          <w:b/>
          <w:bCs/>
        </w:rPr>
        <w:t>Experimento</w:t>
      </w:r>
      <w:r>
        <w:rPr/>
        <w:t xml:space="preserve"> define el nombre, la descripción, la </w:t>
      </w:r>
      <w:r>
        <w:rPr>
          <w:b/>
          <w:bCs/>
        </w:rPr>
        <w:t>semilla aleatoria</w:t>
      </w:r>
      <w:r>
        <w:rPr/>
        <w:t>, los formatos de figura (PNG, SVG, PDF), si se guarda el conjunto de datos y el directorio de resultados (</w:t>
      </w:r>
      <w:r>
        <w:rPr>
          <w:b/>
          <w:bCs/>
        </w:rPr>
        <w:t>Examinar…</w:t>
      </w:r>
      <w:r>
        <w:rPr/>
        <w:t xml:space="preserve"> permite elegirlo). </w:t>
      </w:r>
      <w:r>
        <w:rPr>
          <w:b/>
          <w:bCs/>
        </w:rPr>
        <w:t>Validar configuración</w:t>
      </w:r>
      <w:r>
        <w:rPr/>
        <w:t xml:space="preserve"> comprueba la configuración sin ejecutar; el resumen muestra la configuración completa en YAML.</w:t>
      </w:r>
    </w:p>
    <w:p>
      <w:pPr>
        <w:pStyle w:val="BodyText"/>
        <w:rPr/>
      </w:pPr>
      <w:r>
        <w:rPr/>
        <w:t xml:space="preserve">Al pulsar </w:t>
      </w:r>
      <w:r>
        <w:rPr>
          <w:b/>
          <w:bCs/>
        </w:rPr>
        <w:t>Ejecutar experimento</w:t>
      </w:r>
      <w:r>
        <w:rPr/>
        <w:t xml:space="preserve"> el programa: (1) genera el valor verdadero, (2) genera los sensores, (3) aplica ruido y degradación, (4) ejecuta cada algoritmo, (5) calcula las métricas, (6) genera las figuras y (7) guarda todo en </w:t>
      </w:r>
      <w:r>
        <w:rPr>
          <w:rStyle w:val="VerbatimChar"/>
        </w:rPr>
        <w:t>&lt;directorio de resultados&gt;/ST_EXP_&lt;año&gt;_&lt;número&gt;/</w:t>
      </w:r>
      <w:r>
        <w:rPr/>
        <w:t xml:space="preserve">. La ejecución ocurre en segundo plano y la interfaz permanece disponible; al terminar se abre la pestaña </w:t>
      </w:r>
      <w:r>
        <w:rPr>
          <w:b/>
          <w:bCs/>
        </w:rPr>
        <w:t>Resultados</w:t>
      </w:r>
      <w:r>
        <w:rPr/>
        <w:t>.</w:t>
      </w:r>
      <w:bookmarkEnd w:id="40"/>
    </w:p>
    <w:p>
      <w:pPr>
        <w:pStyle w:val="Heading1"/>
        <w:rPr/>
      </w:pPr>
      <w:bookmarkStart w:id="41" w:name="__RefHeading___Toc1961_196539785"/>
      <w:bookmarkStart w:id="42" w:name="interpretación-de-resultados"/>
      <w:bookmarkEnd w:id="41"/>
      <w:r>
        <w:rPr/>
        <w:t>11. Interpretación de resultados</w:t>
      </w:r>
    </w:p>
    <w:p>
      <w:pPr>
        <w:pStyle w:val="FirstParagraph"/>
        <w:rPr/>
      </w:pPr>
      <w:r>
        <w:rPr/>
        <w:t xml:space="preserve">La pestaña </w:t>
      </w:r>
      <w:r>
        <w:rPr>
          <w:b/>
          <w:bCs/>
        </w:rPr>
        <w:t>Resultados</w:t>
      </w:r>
      <w:r>
        <w:rPr/>
        <w:t xml:space="preserve"> permite elegir la figura, el método y el sensor observado, y presenta la tabla de métricas y las métricas por sensor, con los nombres de las métricas en el idioma de la interfaz. Si algún método no pudo aplicarse al escenario, debajo de la figura aparece un aviso con el método y el motivo.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927"/>
        <w:gridCol w:w="5704"/>
      </w:tblGrid>
      <w:tr>
        <w:trPr>
          <w:tblHeader w:val="true"/>
        </w:trPr>
        <w:tc>
          <w:tcPr>
            <w:tcW w:w="392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Figura</w:t>
            </w:r>
          </w:p>
        </w:tc>
        <w:tc>
          <w:tcPr>
            <w:tcW w:w="570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Qué mostrar / interpretar</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Valor verdadero vs mediciones</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datos de cada sensor y periodos de fallo (franja rayada)</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Valor verdadero vs estimaciones</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seguimiento de cada método</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Error de estimación</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error en el tiempo (con ±2 desviaciones de </w:t>
            </w:r>
            <w:r>
              <w:rPr>
                <w:rFonts w:eastAsia="" w:cs=""/>
                <w:kern w:val="0"/>
                <w:szCs w:val="24"/>
                <w:lang w:val="en-US" w:eastAsia="zh-CN" w:bidi="ar-SA"/>
              </w:rPr>
            </w:r>
            <m:oMath xmlns:m="http://schemas.openxmlformats.org/officeDocument/2006/math">
              <m:r>
                <w:rPr>
                  <w:rFonts w:ascii="Cambria Math" w:hAnsi="Cambria Math"/>
                </w:rPr>
                <m:t xml:space="preserve">P</m:t>
              </m:r>
            </m:oMath>
            <w:r>
              <w:rPr>
                <w:rFonts w:eastAsia="" w:cs=""/>
                <w:kern w:val="0"/>
                <w:sz w:val="17"/>
                <w:szCs w:val="24"/>
                <w:lang w:val="en-US" w:eastAsia="zh-CN" w:bidi="ar-SA"/>
              </w:rPr>
              <w:t xml:space="preserve"> si hay un solo método)</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Innovación vs tiempo</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innovación de cada sensor con su banda ±2 desviaciones</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Media de la innovación</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primer momento estandarizado y zona muerta</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Segundo momento y varianza</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un sesgo eleva el segundo momento pero no la varianza; el ruido eleva ambos</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Confianza de los sensores</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Para xmlns:m="http://schemas.openxmlformats.org/officeDocument/2006/math">
              <m:oMathParaPr>
                <m:jc m:val="left"/>
              </m:oMathParaPr>
              <m:o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t</m:t>
                </m:r>
                <m:r>
                  <w:rPr>
                    <w:rFonts w:ascii="Cambria Math" w:hAnsi="Cambria Math"/>
                  </w:rPr>
                  <m:t xml:space="preserve">)</m:t>
                </m:r>
              </m:oMath>
            </m:oMathPara>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Pesos de los sensores</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sSub>
                <m:e>
                  <m:r>
                    <w:rPr>
                      <w:rFonts w:ascii="Cambria Math" w:hAnsi="Cambria Math"/>
                    </w:rPr>
                    <m:t xml:space="preserve">w</m:t>
                  </m:r>
                </m:e>
                <m:sub>
                  <m:r>
                    <w:rPr>
                      <w:rFonts w:ascii="Cambria Math" w:hAnsi="Cambria Math"/>
                    </w:rPr>
                    <m:t xml:space="preserve">i</m:t>
                  </m:r>
                </m:sub>
              </m:sSub>
              <m:r>
                <w:rPr>
                  <w:rFonts w:ascii="Cambria Math" w:hAnsi="Cambria Math"/>
                </w:rPr>
                <m:t xml:space="preserve">(</m:t>
              </m:r>
              <m:r>
                <w:rPr>
                  <w:rFonts w:ascii="Cambria Math" w:hAnsi="Cambria Math"/>
                </w:rPr>
                <m:t xml:space="preserve">t</m:t>
              </m:r>
              <m:r>
                <w:rPr>
                  <w:rFonts w:ascii="Cambria Math" w:hAnsi="Cambria Math"/>
                </w:rPr>
                <m:t xml:space="preserve">)</m:t>
              </m:r>
            </m:oMath>
            <w:r>
              <w:rPr>
                <w:rFonts w:eastAsia="" w:cs=""/>
                <w:kern w:val="0"/>
                <w:sz w:val="17"/>
                <w:szCs w:val="24"/>
                <w:lang w:val="en-US" w:eastAsia="zh-CN" w:bidi="ar-SA"/>
              </w:rPr>
              <w:t>, que suman 1</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Varianza del ruido vs tiempo</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r>
                <w:rPr>
                  <w:rFonts w:ascii="Cambria Math" w:hAnsi="Cambria Math"/>
                </w:rPr>
                <m:t xml:space="preserve">R</m:t>
              </m:r>
            </m:oMath>
            <w:r>
              <w:rPr>
                <w:rFonts w:eastAsia="" w:cs=""/>
                <w:kern w:val="0"/>
                <w:sz w:val="17"/>
                <w:szCs w:val="24"/>
                <w:lang w:val="en-US" w:eastAsia="zh-CN" w:bidi="ar-SA"/>
              </w:rPr>
              <w:t xml:space="preserve"> </w:t>
            </w:r>
            <w:r>
              <w:rPr>
                <w:rFonts w:eastAsia="" w:cs=""/>
                <w:kern w:val="0"/>
                <w:sz w:val="17"/>
                <w:szCs w:val="24"/>
                <w:lang w:val="en-US" w:eastAsia="zh-CN" w:bidi="ar-SA"/>
              </w:rPr>
              <w:t>verdadera, nominal, estimada (KF adaptativo) y efectiva (SensorTrust)</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Línea de tiempo de fallos</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fallos verdaderos y alarmas del detector</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Comparación de RMSE</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RMSE total y durante el fallo por método</w:t>
            </w:r>
          </w:p>
        </w:tc>
      </w:tr>
      <w:tr>
        <w:trPr/>
        <w:tc>
          <w:tcPr>
            <w:tcW w:w="392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Retardo de detección</w:t>
            </w:r>
          </w:p>
        </w:tc>
        <w:tc>
          <w:tcPr>
            <w:tcW w:w="570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Cs w:val="24"/>
                <w:lang w:val="en-US" w:eastAsia="zh-CN" w:bidi="ar-SA"/>
              </w:rPr>
            </w:r>
            <m:oMath xmlns:m="http://schemas.openxmlformats.org/officeDocument/2006/math">
              <m:sSub>
                <m:e>
                  <m:r>
                    <w:rPr>
                      <w:rFonts w:ascii="Cambria Math" w:hAnsi="Cambria Math"/>
                    </w:rPr>
                    <m:t xml:space="preserve">T</m:t>
                  </m:r>
                </m:e>
                <m:sub>
                  <m:r>
                    <w:rPr>
                      <w:rFonts w:ascii="Cambria Math" w:hAnsi="Cambria Math"/>
                    </w:rPr>
                    <m:t xml:space="preserve">d</m:t>
                  </m:r>
                  <m:r>
                    <w:rPr>
                      <w:rFonts w:ascii="Cambria Math" w:hAnsi="Cambria Math"/>
                    </w:rPr>
                    <m:t xml:space="preserve">e</m:t>
                  </m:r>
                  <m:r>
                    <w:rPr>
                      <w:rFonts w:ascii="Cambria Math" w:hAnsi="Cambria Math"/>
                    </w:rPr>
                    <m:t xml:space="preserve">l</m:t>
                  </m:r>
                  <m:r>
                    <w:rPr>
                      <w:rFonts w:ascii="Cambria Math" w:hAnsi="Cambria Math"/>
                    </w:rPr>
                    <m:t xml:space="preserve">a</m:t>
                  </m:r>
                  <m:r>
                    <w:rPr>
                      <w:rFonts w:ascii="Cambria Math" w:hAnsi="Cambria Math"/>
                    </w:rPr>
                    <m:t xml:space="preserve">y</m:t>
                  </m:r>
                </m:sub>
              </m:sSub>
            </m:oMath>
            <w:r>
              <w:rPr>
                <w:rFonts w:eastAsia="" w:cs=""/>
                <w:kern w:val="0"/>
                <w:sz w:val="17"/>
                <w:szCs w:val="24"/>
                <w:lang w:val="en-US" w:eastAsia="zh-CN" w:bidi="ar-SA"/>
              </w:rPr>
              <w:t xml:space="preserve"> </w:t>
            </w:r>
            <w:r>
              <w:rPr>
                <w:rFonts w:eastAsia="" w:cs=""/>
                <w:kern w:val="0"/>
                <w:sz w:val="17"/>
                <w:szCs w:val="24"/>
                <w:lang w:val="en-US" w:eastAsia="zh-CN" w:bidi="ar-SA"/>
              </w:rPr>
              <w:t>por fallo y método</w:t>
            </w:r>
          </w:p>
        </w:tc>
      </w:tr>
    </w:tbl>
    <w:p>
      <w:pPr>
        <w:pStyle w:val="BodyText"/>
        <w:rPr/>
      </w:pPr>
      <w:r>
        <w:rPr/>
        <w:t>Métricas principales: RMSE, MAE, NRMSE, error máximo, sesgo, RMSE antes/durante/después del fallo, NIS/m y NEES/n (≈ 1 si el filtro es consistente), retardo de detección, F1, tasa de falsa alarma, confianza mínima, tiempos de respuesta y recuperación, pérdida de desempeño respecto al gemelo nominal y éxito (</w:t>
      </w:r>
      <w:r>
        <w:rPr/>
      </w:r>
      <m:oMath xmlns:m="http://schemas.openxmlformats.org/officeDocument/2006/math">
        <m:r>
          <w:rPr>
            <w:rFonts w:ascii="Cambria Math" w:hAnsi="Cambria Math"/>
          </w:rPr>
          <m:t xml:space="preserve">R</m:t>
        </m:r>
        <m:r>
          <w:rPr>
            <w:rFonts w:ascii="Cambria Math" w:hAnsi="Cambria Math"/>
          </w:rPr>
          <m:t xml:space="preserve">M</m:t>
        </m:r>
        <m:r>
          <w:rPr>
            <w:rFonts w:ascii="Cambria Math" w:hAnsi="Cambria Math"/>
          </w:rPr>
          <m:t xml:space="preserve">S</m:t>
        </m:r>
        <m:r>
          <w:rPr>
            <w:rFonts w:ascii="Cambria Math" w:hAnsi="Cambria Math"/>
          </w:rPr>
          <m:t xml:space="preserve">E</m:t>
        </m:r>
        <m:r>
          <w:rPr>
            <w:rFonts w:ascii="Cambria Math" w:hAnsi="Cambria Math"/>
          </w:rPr>
          <m:t xml:space="preserve">≤</m:t>
        </m:r>
      </m:oMath>
      <w:r>
        <w:rPr/>
        <w:t xml:space="preserve"> especificación).</w:t>
      </w:r>
      <w:bookmarkEnd w:id="42"/>
    </w:p>
    <w:p>
      <w:pPr>
        <w:pStyle w:val="Heading1"/>
        <w:rPr/>
      </w:pPr>
      <w:bookmarkStart w:id="43" w:name="__RefHeading___Toc1963_196539785"/>
      <w:bookmarkStart w:id="44" w:name="guía-visual-paso-a-paso-sesgo-progresivo"/>
      <w:bookmarkEnd w:id="43"/>
      <w:r>
        <w:rPr/>
        <w:t>12. Guía visual paso a paso: sesgo progresivo</w:t>
      </w:r>
    </w:p>
    <w:p>
      <w:pPr>
        <w:pStyle w:val="FirstParagraph"/>
        <w:rPr/>
      </w:pPr>
      <w:r>
        <w:rPr>
          <w:b/>
          <w:bCs/>
        </w:rPr>
        <w:t>Paso 1.</w:t>
      </w:r>
      <w:r>
        <w:rPr/>
        <w:t xml:space="preserve"> Abra SensorTrust Fusion y, si lo desea, cambie el idioma con el botón </w:t>
      </w:r>
      <w:r>
        <w:rPr>
          <w:b/>
          <w:bCs/>
        </w:rPr>
        <w:t>[ES] | EN</w:t>
      </w:r>
      <w:r>
        <w:rPr/>
        <w:t>.</w:t>
      </w:r>
    </w:p>
    <w:p>
      <w:pPr>
        <w:pStyle w:val="BodyText"/>
        <w:rPr/>
      </w:pPr>
      <w:r>
        <w:rPr>
          <w:b/>
          <w:bCs/>
        </w:rPr>
        <w:t>Paso 2.</w:t>
      </w:r>
      <w:r>
        <w:rPr/>
        <w:t xml:space="preserve"> En </w:t>
      </w:r>
      <w:r>
        <w:rPr>
          <w:b/>
          <w:bCs/>
        </w:rPr>
        <w:t>Ejemplo científico</w:t>
      </w:r>
      <w:r>
        <w:rPr/>
        <w:t xml:space="preserve"> elija «Ejemplo 3 - Sesgo progresivo» y pulse </w:t>
      </w:r>
      <w:r>
        <w:rPr>
          <w:b/>
          <w:bCs/>
        </w:rPr>
        <w:t>Cargar</w:t>
      </w:r>
      <w:r>
        <w:rPr/>
        <w:t xml:space="preserve">. En la pestaña </w:t>
      </w:r>
      <w:r>
        <w:rPr>
          <w:b/>
          <w:bCs/>
        </w:rPr>
        <w:t>Sistema</w:t>
      </w:r>
      <w:r>
        <w:rPr/>
        <w:t xml:space="preserve"> compruebe el modelo «Modelo 2 - Velocidad constante», duración 60 s y 100 Hz (figura 3).</w:t>
      </w:r>
    </w:p>
    <w:p>
      <w:pPr>
        <w:pStyle w:val="BodyText"/>
        <w:rPr/>
      </w:pPr>
      <w:r>
        <w:rPr>
          <w:b/>
          <w:bCs/>
        </w:rPr>
        <w:t>Paso 3.</w:t>
      </w:r>
      <w:r>
        <w:rPr/>
        <w:t xml:space="preserve"> En </w:t>
      </w:r>
      <w:r>
        <w:rPr>
          <w:b/>
          <w:bCs/>
        </w:rPr>
        <w:t>Sensores</w:t>
      </w:r>
      <w:r>
        <w:rPr/>
        <w:t xml:space="preserve"> verifique los tres sensores de posición S1, S2 y S3 con desviaciones 0,10; 0,15 y 0,20 m (figura 4).</w:t>
      </w:r>
    </w:p>
    <w:p>
      <w:pPr>
        <w:pStyle w:val="BodyText"/>
        <w:rPr/>
      </w:pPr>
      <w:r>
        <w:rPr>
          <w:b/>
          <w:bCs/>
        </w:rPr>
        <w:t>Paso 4.</w:t>
      </w:r>
      <w:r>
        <w:rPr/>
        <w:t xml:space="preserve"> En </w:t>
      </w:r>
      <w:r>
        <w:rPr>
          <w:b/>
          <w:bCs/>
        </w:rPr>
        <w:t>Degradación</w:t>
      </w:r>
      <w:r>
        <w:rPr/>
        <w:t xml:space="preserve"> seleccione S2: tipo «Sesgo progresivo», tasa alpha = 0,05 m/s, perfil escalón con inicio en 20 s (figura 5). La vista previa muestra el sesgo creciente.</w:t>
      </w:r>
    </w:p>
    <w:p>
      <w:pPr>
        <w:pStyle w:val="BodyText"/>
        <w:rPr/>
      </w:pPr>
      <w:r>
        <w:rPr>
          <w:b/>
          <w:bCs/>
        </w:rPr>
        <w:t>Paso 5.</w:t>
      </w:r>
      <w:r>
        <w:rPr/>
        <w:t xml:space="preserve"> En </w:t>
      </w:r>
      <w:r>
        <w:rPr>
          <w:b/>
          <w:bCs/>
        </w:rPr>
        <w:t>Fusión</w:t>
      </w:r>
      <w:r>
        <w:rPr/>
        <w:t xml:space="preserve"> marque, entre otros, «SensorTrust KF (dos primeros momentos)» (figura 6) y revise la pestaña </w:t>
      </w:r>
      <w:r>
        <w:rPr>
          <w:b/>
          <w:bCs/>
        </w:rPr>
        <w:t>Confianza</w:t>
      </w:r>
      <w:r>
        <w:rPr/>
        <w:t xml:space="preserve"> (figura 7).</w:t>
      </w:r>
    </w:p>
    <w:p>
      <w:pPr>
        <w:pStyle w:val="BodyText"/>
        <w:rPr/>
      </w:pPr>
      <w:r>
        <w:rPr>
          <w:b/>
          <w:bCs/>
        </w:rPr>
        <w:t>Paso 6.</w:t>
      </w:r>
      <w:r>
        <w:rPr/>
        <w:t xml:space="preserve"> En </w:t>
      </w:r>
      <w:r>
        <w:rPr>
          <w:b/>
          <w:bCs/>
        </w:rPr>
        <w:t>Experimento</w:t>
      </w:r>
      <w:r>
        <w:rPr/>
        <w:t xml:space="preserve"> revise la semilla (42) y pulse </w:t>
      </w:r>
      <w:r>
        <w:rPr>
          <w:b/>
          <w:bCs/>
        </w:rPr>
        <w:t>Ejecutar experimento</w:t>
      </w:r>
      <w:r>
        <w:rPr/>
        <w:t>.</w:t>
      </w:r>
    </w:p>
    <w:p>
      <w:pPr>
        <w:pStyle w:val="CaptionedFigure"/>
        <w:jc w:val="center"/>
        <w:rPr/>
      </w:pPr>
      <w:r>
        <w:rPr/>
        <w:drawing>
          <wp:inline distT="0" distB="0" distL="0" distR="0">
            <wp:extent cx="5334000" cy="3378200"/>
            <wp:effectExtent l="0" t="0" r="0" b="0"/>
            <wp:docPr id="8" name="Image8" descr="Figura 8. Paso 6: pestaña Experimento antes de ejecu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a 8. Paso 6: pestaña Experimento antes de ejecutar"/>
                    <pic:cNvPicPr>
                      <a:picLocks noChangeAspect="1" noChangeArrowheads="1"/>
                    </pic:cNvPicPr>
                  </pic:nvPicPr>
                  <pic:blipFill>
                    <a:blip r:embed="rId9"/>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8. Paso 6: pestaña Experimento antes de ejecutar</w:t>
      </w:r>
    </w:p>
    <w:p>
      <w:pPr>
        <w:pStyle w:val="BodyText"/>
        <w:rPr/>
      </w:pPr>
      <w:r>
        <w:rPr>
          <w:b/>
          <w:bCs/>
        </w:rPr>
        <w:t>Paso 7.</w:t>
      </w:r>
      <w:r>
        <w:rPr/>
        <w:t xml:space="preserve"> Al terminar, en </w:t>
      </w:r>
      <w:r>
        <w:rPr>
          <w:b/>
          <w:bCs/>
        </w:rPr>
        <w:t>Resultados</w:t>
      </w:r>
      <w:r>
        <w:rPr/>
        <w:t xml:space="preserve"> elija la figura «Confianza de los sensores».</w:t>
      </w:r>
    </w:p>
    <w:p>
      <w:pPr>
        <w:pStyle w:val="CaptionedFigure"/>
        <w:jc w:val="center"/>
        <w:rPr/>
      </w:pPr>
      <w:r>
        <w:rPr/>
        <w:drawing>
          <wp:inline distT="0" distB="0" distL="0" distR="0">
            <wp:extent cx="5334000" cy="3378200"/>
            <wp:effectExtent l="0" t="0" r="0" b="0"/>
            <wp:docPr id="9" name="Image9" descr="Figura 9. Paso 7: confianza de los sensores bajo sesgo progresivo en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a 9. Paso 7: confianza de los sensores bajo sesgo progresivo en S2"/>
                    <pic:cNvPicPr>
                      <a:picLocks noChangeAspect="1" noChangeArrowheads="1"/>
                    </pic:cNvPicPr>
                  </pic:nvPicPr>
                  <pic:blipFill>
                    <a:blip r:embed="rId10"/>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9. Paso 7: confianza de los sensores bajo sesgo progresivo en S2</w:t>
      </w:r>
    </w:p>
    <w:p>
      <w:pPr>
        <w:pStyle w:val="BodyText"/>
        <w:rPr/>
      </w:pPr>
      <w:r>
        <w:rPr>
          <w:b/>
          <w:bCs/>
        </w:rPr>
        <w:t>Paso 8.</w:t>
      </w:r>
      <w:r>
        <w:rPr/>
        <w:t xml:space="preserve"> Interprete: la confianza de S2 cae cuando el sesgo supera la zona muerta estadística y los pesos se redistribuyen hacia S1 y S3. En este experimento el retardo de detección de SensorTrust fue 1.00 s y su RMSE 0.0227 m, frente a 0.2510 m del KF con R nominal. La figura de la media de la innovación muestra el crecimiento del primer momento de S2:</w:t>
      </w:r>
    </w:p>
    <w:p>
      <w:pPr>
        <w:pStyle w:val="CaptionedFigure"/>
        <w:jc w:val="center"/>
        <w:rPr/>
      </w:pPr>
      <w:r>
        <w:rPr/>
        <w:drawing>
          <wp:inline distT="0" distB="0" distL="0" distR="0">
            <wp:extent cx="5334000" cy="3378200"/>
            <wp:effectExtent l="0" t="0" r="0" b="0"/>
            <wp:docPr id="10" name="Image10" descr="Figura 10. Paso 8: media de la innovación (primer momento) bajo sesgo progre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a 10. Paso 8: media de la innovación (primer momento) bajo sesgo progresivo"/>
                    <pic:cNvPicPr>
                      <a:picLocks noChangeAspect="1" noChangeArrowheads="1"/>
                    </pic:cNvPicPr>
                  </pic:nvPicPr>
                  <pic:blipFill>
                    <a:blip r:embed="rId11"/>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45" w:name="guía-visual-paso-a-paso-sesgo-progresivo"/>
      <w:r>
        <w:rPr>
          <w:i/>
          <w:sz w:val="18"/>
        </w:rPr>
        <w:t>Figura 10. Paso 8: media de la innovación (primer momento) bajo sesgo progresivo</w:t>
      </w:r>
      <w:bookmarkEnd w:id="45"/>
    </w:p>
    <w:p>
      <w:pPr>
        <w:pStyle w:val="Heading1"/>
        <w:rPr/>
      </w:pPr>
      <w:bookmarkStart w:id="46" w:name="__RefHeading___Toc1965_196539785"/>
      <w:bookmarkStart w:id="47" w:name="experimentos-del-manual"/>
      <w:bookmarkEnd w:id="46"/>
      <w:r>
        <w:rPr/>
        <w:t>13. Experimentos del manual</w:t>
      </w:r>
    </w:p>
    <w:p>
      <w:pPr>
        <w:pStyle w:val="FirstParagraph"/>
        <w:rPr/>
      </w:pPr>
      <w:r>
        <w:rPr/>
        <w:t xml:space="preserve">Cada experimento corresponde a un ejemplo cargable desde la barra de herramientas y a un archivo de </w:t>
      </w:r>
      <w:r>
        <w:rPr>
          <w:rStyle w:val="VerbatimChar"/>
        </w:rPr>
        <w:t>examples/</w:t>
      </w:r>
      <w:r>
        <w:rPr/>
        <w:t xml:space="preserve"> o </w:t>
      </w:r>
      <w:r>
        <w:rPr>
          <w:rStyle w:val="VerbatimChar"/>
        </w:rPr>
        <w:t>configs/</w:t>
      </w:r>
      <w:r>
        <w:rPr/>
        <w:t>. Los valores citados provienen de las ejecuciones de referencia (misma configuración y semilla que en la interfaz, por lo que se obtienen resultados idénticos).</w:t>
      </w:r>
    </w:p>
    <w:p>
      <w:pPr>
        <w:pStyle w:val="Heading2"/>
        <w:rPr/>
      </w:pPr>
      <w:bookmarkStart w:id="48" w:name="__RefHeading___Toc1967_196539785"/>
      <w:bookmarkStart w:id="49" w:name="experimento-a-caso-nominal"/>
      <w:bookmarkEnd w:id="48"/>
      <w:r>
        <w:rPr/>
        <w:t>13.1 Experimento A – Caso nominal</w:t>
      </w:r>
    </w:p>
    <w:p>
      <w:pPr>
        <w:pStyle w:val="FirstParagraph"/>
        <w:rPr/>
      </w:pPr>
      <w:r>
        <w:rPr>
          <w:b/>
          <w:bCs/>
        </w:rPr>
        <w:t>Objetivo:</w:t>
      </w:r>
      <w:r>
        <w:rPr/>
        <w:t xml:space="preserve"> comparar sensores individuales, fusión simple, Kalman y SensorTrust sin degradación. </w:t>
      </w:r>
      <w:r>
        <w:rPr>
          <w:b/>
          <w:bCs/>
        </w:rPr>
        <w:t>Procedimiento:</w:t>
      </w:r>
      <w:r>
        <w:rPr/>
        <w:t xml:space="preserve"> cargar «Ejemplo 1 - Fusión nominal» → Ejecutar → Resultados → «Comparación de RMSE». </w:t>
      </w:r>
      <w:r>
        <w:rPr>
          <w:b/>
          <w:bCs/>
        </w:rPr>
        <w:t>Resultado:</w:t>
      </w:r>
      <w:r>
        <w:rPr/>
        <w:t xml:space="preserve"> KF (R nominal) 0.0206 m, SensorTrust KF 0.0207 m, promedio simple 0.0898 m, mejor sensor individual con KF (S1) 0.0252 m. Sin fallos, SensorTrust no degrada el desempeño; la fusión supera a cualquier sensor individual.</w:t>
      </w:r>
    </w:p>
    <w:p>
      <w:pPr>
        <w:pStyle w:val="CaptionedFigure"/>
        <w:jc w:val="center"/>
        <w:rPr/>
      </w:pPr>
      <w:r>
        <w:rPr/>
        <w:drawing>
          <wp:inline distT="0" distB="0" distL="0" distR="0">
            <wp:extent cx="5334000" cy="3378200"/>
            <wp:effectExtent l="0" t="0" r="0" b="0"/>
            <wp:docPr id="11" name="Image11" descr="Figura 11. Experimento A: comparación de RMSE en el caso no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a 11. Experimento A: comparación de RMSE en el caso nominal"/>
                    <pic:cNvPicPr>
                      <a:picLocks noChangeAspect="1" noChangeArrowheads="1"/>
                    </pic:cNvPicPr>
                  </pic:nvPicPr>
                  <pic:blipFill>
                    <a:blip r:embed="rId12"/>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50" w:name="experimento-a-caso-nominal"/>
      <w:r>
        <w:rPr>
          <w:i/>
          <w:sz w:val="18"/>
        </w:rPr>
        <w:t>Figura 11. Experimento A: comparación de RMSE en el caso nominal</w:t>
      </w:r>
      <w:bookmarkEnd w:id="50"/>
    </w:p>
    <w:p>
      <w:pPr>
        <w:pStyle w:val="Heading2"/>
        <w:rPr/>
      </w:pPr>
      <w:bookmarkStart w:id="51" w:name="__RefHeading___Toc1969_196539785"/>
      <w:bookmarkStart w:id="52" w:name="experimento-b-sesgo-abrupto"/>
      <w:bookmarkEnd w:id="51"/>
      <w:r>
        <w:rPr/>
        <w:t>13.2 Experimento B – Sesgo abrupto</w:t>
      </w:r>
    </w:p>
    <w:p>
      <w:pPr>
        <w:pStyle w:val="FirstParagraph"/>
        <w:rPr/>
      </w:pPr>
      <w:r>
        <w:rPr>
          <w:b/>
          <w:bCs/>
        </w:rPr>
        <w:t>Procedimiento:</w:t>
      </w:r>
      <w:r>
        <w:rPr/>
        <w:t xml:space="preserve"> cargar «Ejemplo 2 - Sesgo abrupto» (sesgo de 1,0 m en S2 a los 20 s) → Ejecutar → revisar mediciones, innovación, confianza, pesos y estimación. </w:t>
      </w:r>
      <w:r>
        <w:rPr>
          <w:b/>
          <w:bCs/>
        </w:rPr>
        <w:t>Resultado:</w:t>
      </w:r>
      <w:r>
        <w:rPr/>
        <w:t xml:space="preserve"> RMSE del KF nominal 0.2174 m; SensorTrust KF 0.0224 m con retardo de detección 0.04 s.</w:t>
      </w:r>
    </w:p>
    <w:p>
      <w:pPr>
        <w:pStyle w:val="CaptionedFigure"/>
        <w:jc w:val="center"/>
        <w:rPr/>
      </w:pPr>
      <w:r>
        <w:rPr/>
        <w:drawing>
          <wp:inline distT="0" distB="0" distL="0" distR="0">
            <wp:extent cx="5334000" cy="3378200"/>
            <wp:effectExtent l="0" t="0" r="0" b="0"/>
            <wp:docPr id="12" name="Image12" descr="Figura 12. Experimento B: mediciones con sesgo abrupto en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a 12. Experimento B: mediciones con sesgo abrupto en S2"/>
                    <pic:cNvPicPr>
                      <a:picLocks noChangeAspect="1" noChangeArrowheads="1"/>
                    </pic:cNvPicPr>
                  </pic:nvPicPr>
                  <pic:blipFill>
                    <a:blip r:embed="rId13"/>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12. Experimento B: mediciones con sesgo abrupto en S2</w:t>
      </w:r>
    </w:p>
    <w:p>
      <w:pPr>
        <w:pStyle w:val="CaptionedFigure"/>
        <w:jc w:val="center"/>
        <w:rPr/>
      </w:pPr>
      <w:r>
        <w:rPr/>
        <w:drawing>
          <wp:inline distT="0" distB="0" distL="0" distR="0">
            <wp:extent cx="5334000" cy="3378200"/>
            <wp:effectExtent l="0" t="0" r="0" b="0"/>
            <wp:docPr id="13" name="Image13" descr="Figura 13. Experimento B: segundo momento y varianza de la innov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a 13. Experimento B: segundo momento y varianza de la innovación"/>
                    <pic:cNvPicPr>
                      <a:picLocks noChangeAspect="1" noChangeArrowheads="1"/>
                    </pic:cNvPicPr>
                  </pic:nvPicPr>
                  <pic:blipFill>
                    <a:blip r:embed="rId14"/>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13. Experimento B: segundo momento y varianza de la innovación</w:t>
      </w:r>
    </w:p>
    <w:p>
      <w:pPr>
        <w:pStyle w:val="CaptionedFigure"/>
        <w:jc w:val="center"/>
        <w:rPr/>
      </w:pPr>
      <w:r>
        <w:rPr/>
        <w:drawing>
          <wp:inline distT="0" distB="0" distL="0" distR="0">
            <wp:extent cx="5334000" cy="3378200"/>
            <wp:effectExtent l="0" t="0" r="0" b="0"/>
            <wp:docPr id="14" name="Image14" descr="Figura 14. Experimento B: confianza de los sens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a 14. Experimento B: confianza de los sensores"/>
                    <pic:cNvPicPr>
                      <a:picLocks noChangeAspect="1" noChangeArrowheads="1"/>
                    </pic:cNvPicPr>
                  </pic:nvPicPr>
                  <pic:blipFill>
                    <a:blip r:embed="rId15"/>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14. Experimento B: confianza de los sensores</w:t>
      </w:r>
    </w:p>
    <w:p>
      <w:pPr>
        <w:pStyle w:val="CaptionedFigure"/>
        <w:jc w:val="center"/>
        <w:rPr/>
      </w:pPr>
      <w:r>
        <w:rPr/>
        <w:drawing>
          <wp:inline distT="0" distB="0" distL="0" distR="0">
            <wp:extent cx="5334000" cy="3378200"/>
            <wp:effectExtent l="0" t="0" r="0" b="0"/>
            <wp:docPr id="15" name="Image15" descr="Figura 15. Experimento B: pesos de los sens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Figura 15. Experimento B: pesos de los sensores"/>
                    <pic:cNvPicPr>
                      <a:picLocks noChangeAspect="1" noChangeArrowheads="1"/>
                    </pic:cNvPicPr>
                  </pic:nvPicPr>
                  <pic:blipFill>
                    <a:blip r:embed="rId16"/>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15. Experimento B: pesos de los sensores</w:t>
      </w:r>
    </w:p>
    <w:p>
      <w:pPr>
        <w:pStyle w:val="CaptionedFigure"/>
        <w:jc w:val="center"/>
        <w:rPr/>
      </w:pPr>
      <w:r>
        <w:rPr/>
        <w:drawing>
          <wp:inline distT="0" distB="0" distL="0" distR="0">
            <wp:extent cx="5334000" cy="3378200"/>
            <wp:effectExtent l="0" t="0" r="0" b="0"/>
            <wp:docPr id="16" name="Image16" descr="Figura 16. Experimento B: línea de tiempo del fallo verdadero y de las alar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Figura 16. Experimento B: línea de tiempo del fallo verdadero y de las alarmas"/>
                    <pic:cNvPicPr>
                      <a:picLocks noChangeAspect="1" noChangeArrowheads="1"/>
                    </pic:cNvPicPr>
                  </pic:nvPicPr>
                  <pic:blipFill>
                    <a:blip r:embed="rId17"/>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53" w:name="experimento-b-sesgo-abrupto"/>
      <w:r>
        <w:rPr>
          <w:i/>
          <w:sz w:val="18"/>
        </w:rPr>
        <w:t>Figura 16. Experimento B: línea de tiempo del fallo verdadero y de las alarmas</w:t>
      </w:r>
      <w:bookmarkEnd w:id="53"/>
    </w:p>
    <w:p>
      <w:pPr>
        <w:pStyle w:val="Heading2"/>
        <w:rPr/>
      </w:pPr>
      <w:bookmarkStart w:id="54" w:name="__RefHeading___Toc1971_196539785"/>
      <w:bookmarkStart w:id="55" w:name="experimento-c-sesgo-progresivo"/>
      <w:bookmarkEnd w:id="54"/>
      <w:r>
        <w:rPr/>
        <w:t>13.3 Experimento C – Sesgo progresivo</w:t>
      </w:r>
    </w:p>
    <w:p>
      <w:pPr>
        <w:pStyle w:val="FirstParagraph"/>
        <w:rPr/>
      </w:pPr>
      <w:bookmarkStart w:id="56" w:name="experimento-c-sesgo-progresivo"/>
      <w:r>
        <w:rPr/>
        <w:t>Descrito en la guía paso a paso (capítulo 12).</w:t>
      </w:r>
      <w:bookmarkEnd w:id="56"/>
    </w:p>
    <w:p>
      <w:pPr>
        <w:pStyle w:val="Heading2"/>
        <w:rPr/>
      </w:pPr>
      <w:bookmarkStart w:id="57" w:name="__RefHeading___Toc1973_196539785"/>
      <w:bookmarkStart w:id="58" w:name="experimento-d-ruido-creciente"/>
      <w:bookmarkEnd w:id="57"/>
      <w:r>
        <w:rPr/>
        <w:t>13.4 Experimento D – Ruido creciente</w:t>
      </w:r>
    </w:p>
    <w:p>
      <w:pPr>
        <w:pStyle w:val="FirstParagraph"/>
        <w:rPr/>
      </w:pPr>
      <w:r>
        <w:rPr>
          <w:b/>
          <w:bCs/>
        </w:rPr>
        <w:t>Procedimiento:</w:t>
      </w:r>
      <w:r>
        <w:rPr/>
        <w:t xml:space="preserve"> «Ejemplo 4 - Ruido creciente» (varianza de S2 de </w:t>
      </w:r>
      <w:r>
        <w:rPr/>
      </w:r>
      <m:oMath xmlns:m="http://schemas.openxmlformats.org/officeDocument/2006/math">
        <m:sSub>
          <m:e>
            <m:r>
              <w:rPr>
                <w:rFonts w:ascii="Cambria Math" w:hAnsi="Cambria Math"/>
              </w:rPr>
              <m:t xml:space="preserve">R</m:t>
            </m:r>
          </m:e>
          <m:sub>
            <m:r>
              <w:rPr>
                <w:rFonts w:ascii="Cambria Math" w:hAnsi="Cambria Math"/>
              </w:rPr>
              <m:t xml:space="preserve">0</m:t>
            </m:r>
          </m:sub>
        </m:sSub>
      </m:oMath>
      <w:r>
        <w:rPr/>
        <w:t xml:space="preserve"> a </w:t>
      </w:r>
      <w:r>
        <w:rPr/>
      </w:r>
      <m:oMath xmlns:m="http://schemas.openxmlformats.org/officeDocument/2006/math">
        <m:r>
          <w:rPr>
            <w:rFonts w:ascii="Cambria Math" w:hAnsi="Cambria Math"/>
          </w:rPr>
          <m:t xml:space="preserve">50</m:t>
        </m:r>
        <m:sSub>
          <m:e>
            <m:r>
              <w:rPr>
                <w:rFonts w:ascii="Cambria Math" w:hAnsi="Cambria Math"/>
              </w:rPr>
              <m:t xml:space="preserve">R</m:t>
            </m:r>
          </m:e>
          <m:sub>
            <m:r>
              <w:rPr>
                <w:rFonts w:ascii="Cambria Math" w:hAnsi="Cambria Math"/>
              </w:rPr>
              <m:t xml:space="preserve">0</m:t>
            </m:r>
          </m:sub>
        </m:sSub>
      </m:oMath>
      <w:r>
        <w:rPr/>
        <w:t xml:space="preserve"> entre 20 y 40 s) → Resultados → «Varianza del ruido vs tiempo» y «Segundo momento y varianza». </w:t>
      </w:r>
      <w:r>
        <w:rPr>
          <w:b/>
          <w:bCs/>
        </w:rPr>
        <w:t>Resultado:</w:t>
      </w:r>
      <w:r>
        <w:rPr/>
        <w:t xml:space="preserve"> el segundo momento de S2 crece; SensorTrust KF obtiene 0.0223 m frente a 0.0536 m del KF nominal y 0.0222 m del KF con R verdadera (oráculo).</w:t>
      </w:r>
    </w:p>
    <w:p>
      <w:pPr>
        <w:pStyle w:val="CaptionedFigure"/>
        <w:jc w:val="center"/>
        <w:rPr/>
      </w:pPr>
      <w:r>
        <w:rPr/>
        <w:drawing>
          <wp:inline distT="0" distB="0" distL="0" distR="0">
            <wp:extent cx="5334000" cy="3378200"/>
            <wp:effectExtent l="0" t="0" r="0" b="0"/>
            <wp:docPr id="17" name="Image17" descr="Figura 17. Experimento D: varianza verdadera, estimada y efectiva del ru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Figura 17. Experimento D: varianza verdadera, estimada y efectiva del ruido"/>
                    <pic:cNvPicPr>
                      <a:picLocks noChangeAspect="1" noChangeArrowheads="1"/>
                    </pic:cNvPicPr>
                  </pic:nvPicPr>
                  <pic:blipFill>
                    <a:blip r:embed="rId18"/>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59" w:name="experimento-d-ruido-creciente"/>
      <w:r>
        <w:rPr>
          <w:i/>
          <w:sz w:val="18"/>
        </w:rPr>
        <w:t>Figura 17. Experimento D: varianza verdadera, estimada y efectiva del ruido</w:t>
      </w:r>
      <w:bookmarkEnd w:id="59"/>
    </w:p>
    <w:p>
      <w:pPr>
        <w:pStyle w:val="Heading2"/>
        <w:rPr/>
      </w:pPr>
      <w:bookmarkStart w:id="60" w:name="__RefHeading___Toc1975_196539785"/>
      <w:bookmarkStart w:id="61" w:name="experimento-e-deriva"/>
      <w:bookmarkEnd w:id="60"/>
      <w:r>
        <w:rPr/>
        <w:t>13.5 Experimento E – Deriva</w:t>
      </w:r>
    </w:p>
    <w:p>
      <w:pPr>
        <w:pStyle w:val="FirstParagraph"/>
        <w:rPr/>
      </w:pPr>
      <w:r>
        <w:rPr>
          <w:b/>
          <w:bCs/>
        </w:rPr>
        <w:t>Procedimiento:</w:t>
      </w:r>
      <w:r>
        <w:rPr/>
        <w:t xml:space="preserve"> «Ejemplo 5 - Deriva» (deriva acumulativa y de caminata aleatoria en S2 desde 20 s). </w:t>
      </w:r>
      <w:r>
        <w:rPr>
          <w:b/>
          <w:bCs/>
        </w:rPr>
        <w:t>Resultado:</w:t>
      </w:r>
      <w:r>
        <w:rPr/>
        <w:t xml:space="preserve"> RMSE de SensorTrust 0.0225 m frente a 0.1045 m del KF nominal.</w:t>
      </w:r>
    </w:p>
    <w:p>
      <w:pPr>
        <w:pStyle w:val="CaptionedFigure"/>
        <w:jc w:val="center"/>
        <w:rPr/>
      </w:pPr>
      <w:r>
        <w:rPr/>
        <w:drawing>
          <wp:inline distT="0" distB="0" distL="0" distR="0">
            <wp:extent cx="5334000" cy="3378200"/>
            <wp:effectExtent l="0" t="0" r="0" b="0"/>
            <wp:docPr id="18" name="Image18" descr="Figura 18. Experimento E: confianza ante der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Figura 18. Experimento E: confianza ante deriva"/>
                    <pic:cNvPicPr>
                      <a:picLocks noChangeAspect="1" noChangeArrowheads="1"/>
                    </pic:cNvPicPr>
                  </pic:nvPicPr>
                  <pic:blipFill>
                    <a:blip r:embed="rId19"/>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62" w:name="experimento-e-deriva"/>
      <w:r>
        <w:rPr>
          <w:i/>
          <w:sz w:val="18"/>
        </w:rPr>
        <w:t>Figura 18. Experimento E: confianza ante deriva</w:t>
      </w:r>
      <w:bookmarkEnd w:id="62"/>
    </w:p>
    <w:p>
      <w:pPr>
        <w:pStyle w:val="Heading2"/>
        <w:rPr/>
      </w:pPr>
      <w:bookmarkStart w:id="63" w:name="__RefHeading___Toc1977_196539785"/>
      <w:bookmarkStart w:id="64" w:name="experimento-f-valores-atípicos"/>
      <w:bookmarkEnd w:id="63"/>
      <w:r>
        <w:rPr/>
        <w:t>13.6 Experimento F – Valores atípicos</w:t>
      </w:r>
    </w:p>
    <w:p>
      <w:pPr>
        <w:pStyle w:val="FirstParagraph"/>
        <w:rPr/>
      </w:pPr>
      <w:r>
        <w:rPr>
          <w:b/>
          <w:bCs/>
        </w:rPr>
        <w:t>Procedimiento:</w:t>
      </w:r>
      <w:r>
        <w:rPr/>
        <w:t xml:space="preserve"> «Ejemplo 6 - Valores atípicos» (atípicos de ~3 m con probabilidad 5 % entre 20 y 45 s) → figura «Innovación vs tiempo». </w:t>
      </w:r>
      <w:r>
        <w:rPr>
          <w:b/>
          <w:bCs/>
        </w:rPr>
        <w:t>Resultado:</w:t>
      </w:r>
      <w:r>
        <w:rPr/>
        <w:t xml:space="preserve"> SensorTrust 0.0221 m, KF con compuerta NIS 0.0219 m, KF nominal 0.0341 m.</w:t>
      </w:r>
    </w:p>
    <w:p>
      <w:pPr>
        <w:pStyle w:val="CaptionedFigure"/>
        <w:jc w:val="center"/>
        <w:rPr/>
      </w:pPr>
      <w:r>
        <w:rPr/>
        <w:drawing>
          <wp:inline distT="0" distB="0" distL="0" distR="0">
            <wp:extent cx="5334000" cy="3378200"/>
            <wp:effectExtent l="0" t="0" r="0" b="0"/>
            <wp:docPr id="19" name="Image19" descr="Figura 19. Experimento F: innovación con valores atíp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Figura 19. Experimento F: innovación con valores atípicos"/>
                    <pic:cNvPicPr>
                      <a:picLocks noChangeAspect="1" noChangeArrowheads="1"/>
                    </pic:cNvPicPr>
                  </pic:nvPicPr>
                  <pic:blipFill>
                    <a:blip r:embed="rId20"/>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65" w:name="experimento-f-valores-atípicos"/>
      <w:r>
        <w:rPr>
          <w:i/>
          <w:sz w:val="18"/>
        </w:rPr>
        <w:t>Figura 19. Experimento F: innovación con valores atípicos</w:t>
      </w:r>
      <w:bookmarkEnd w:id="65"/>
    </w:p>
    <w:p>
      <w:pPr>
        <w:pStyle w:val="Heading2"/>
        <w:rPr/>
      </w:pPr>
      <w:bookmarkStart w:id="66" w:name="__RefHeading___Toc1979_196539785"/>
      <w:bookmarkStart w:id="67" w:name="experimento-g-sensor-congelado"/>
      <w:bookmarkEnd w:id="66"/>
      <w:r>
        <w:rPr/>
        <w:t>13.7 Experimento G – Sensor congelado</w:t>
      </w:r>
    </w:p>
    <w:p>
      <w:pPr>
        <w:pStyle w:val="FirstParagraph"/>
        <w:rPr/>
      </w:pPr>
      <w:r>
        <w:rPr>
          <w:b/>
          <w:bCs/>
        </w:rPr>
        <w:t>Procedimiento:</w:t>
      </w:r>
      <w:r>
        <w:rPr/>
        <w:t xml:space="preserve"> «Ejemplo 7 - Sensor congelado» (S2 congelado a los 25 s) → «Error de estimación». </w:t>
      </w:r>
      <w:r>
        <w:rPr>
          <w:b/>
          <w:bCs/>
        </w:rPr>
        <w:t>Resultado:</w:t>
      </w:r>
      <w:r>
        <w:rPr/>
        <w:t xml:space="preserve"> el KF nominal alcanza 0.6473 m porque sigue al sensor congelado; SensorTrust 0.0233 m.</w:t>
      </w:r>
    </w:p>
    <w:p>
      <w:pPr>
        <w:pStyle w:val="CaptionedFigure"/>
        <w:jc w:val="center"/>
        <w:rPr/>
      </w:pPr>
      <w:r>
        <w:rPr/>
        <w:drawing>
          <wp:inline distT="0" distB="0" distL="0" distR="0">
            <wp:extent cx="5334000" cy="3378200"/>
            <wp:effectExtent l="0" t="0" r="0" b="0"/>
            <wp:docPr id="20" name="Image20" descr="Figura 20. Experimento G: error de estimación con sensor conge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Figura 20. Experimento G: error de estimación con sensor congelado"/>
                    <pic:cNvPicPr>
                      <a:picLocks noChangeAspect="1" noChangeArrowheads="1"/>
                    </pic:cNvPicPr>
                  </pic:nvPicPr>
                  <pic:blipFill>
                    <a:blip r:embed="rId21"/>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68" w:name="experimento-g-sensor-congelado"/>
      <w:r>
        <w:rPr>
          <w:i/>
          <w:sz w:val="18"/>
        </w:rPr>
        <w:t>Figura 20. Experimento G: error de estimación con sensor congelado</w:t>
      </w:r>
      <w:bookmarkEnd w:id="68"/>
    </w:p>
    <w:p>
      <w:pPr>
        <w:pStyle w:val="Heading2"/>
        <w:rPr/>
      </w:pPr>
      <w:bookmarkStart w:id="69" w:name="__RefHeading___Toc1981_196539785"/>
      <w:bookmarkStart w:id="70" w:name="experimento-h-recuperación"/>
      <w:bookmarkEnd w:id="69"/>
      <w:r>
        <w:rPr/>
        <w:t>13.8 Experimento H – Recuperación</w:t>
      </w:r>
    </w:p>
    <w:p>
      <w:pPr>
        <w:pStyle w:val="FirstParagraph"/>
        <w:rPr/>
      </w:pPr>
      <w:r>
        <w:rPr>
          <w:b/>
          <w:bCs/>
        </w:rPr>
        <w:t>Procedimiento:</w:t>
      </w:r>
      <w:r>
        <w:rPr/>
        <w:t xml:space="preserve"> «Ejemplo 8 - Recuperación del sensor» (sesgo de 1,5 m en S2 entre 20 y 35 s que desaparece linealmente hasta 40 s) → «Confianza». </w:t>
      </w:r>
      <w:r>
        <w:rPr>
          <w:b/>
          <w:bCs/>
        </w:rPr>
        <w:t>Resultado:</w:t>
      </w:r>
      <w:r>
        <w:rPr/>
        <w:t xml:space="preserve"> la confianza de S2 cae y posteriormente aumenta de nuevo; tiempo de recuperación de la confianza 1.30 s tras el fin del fallo.</w:t>
      </w:r>
    </w:p>
    <w:p>
      <w:pPr>
        <w:pStyle w:val="CaptionedFigure"/>
        <w:jc w:val="center"/>
        <w:rPr/>
      </w:pPr>
      <w:r>
        <w:rPr/>
        <w:drawing>
          <wp:inline distT="0" distB="0" distL="0" distR="0">
            <wp:extent cx="5334000" cy="3378200"/>
            <wp:effectExtent l="0" t="0" r="0" b="0"/>
            <wp:docPr id="21" name="Image21" descr="Figura 21. Experimento H: disminución y recuperación de la confia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Figura 21. Experimento H: disminución y recuperación de la confianza"/>
                    <pic:cNvPicPr>
                      <a:picLocks noChangeAspect="1" noChangeArrowheads="1"/>
                    </pic:cNvPicPr>
                  </pic:nvPicPr>
                  <pic:blipFill>
                    <a:blip r:embed="rId22"/>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71" w:name="experimento-h-recuperación"/>
      <w:r>
        <w:rPr>
          <w:i/>
          <w:sz w:val="18"/>
        </w:rPr>
        <w:t>Figura 21. Experimento H: disminución y recuperación de la confianza</w:t>
      </w:r>
      <w:bookmarkEnd w:id="71"/>
    </w:p>
    <w:p>
      <w:pPr>
        <w:pStyle w:val="Heading2"/>
        <w:rPr/>
      </w:pPr>
      <w:bookmarkStart w:id="72" w:name="__RefHeading___Toc1983_196539785"/>
      <w:bookmarkStart w:id="73" w:name="experimento-i-dos-sensores-degradados"/>
      <w:bookmarkEnd w:id="72"/>
      <w:r>
        <w:rPr/>
        <w:t>13.9 Experimento I – Dos sensores degradados</w:t>
      </w:r>
    </w:p>
    <w:p>
      <w:pPr>
        <w:pStyle w:val="FirstParagraph"/>
        <w:rPr/>
      </w:pPr>
      <w:r>
        <w:rPr>
          <w:b/>
          <w:bCs/>
        </w:rPr>
        <w:t>Procedimiento:</w:t>
      </w:r>
      <w:r>
        <w:rPr/>
        <w:t xml:space="preserve"> «Ejemplo 9 - Degradación de múltiples sensores» (a los 20 s, sesgo de 1,0 m en S2 y varianza ×30 en S3). </w:t>
      </w:r>
      <w:r>
        <w:rPr>
          <w:b/>
          <w:bCs/>
        </w:rPr>
        <w:t>Resultado:</w:t>
      </w:r>
      <w:r>
        <w:rPr/>
        <w:t xml:space="preserve"> SensorTrust 0.0238 m, fallos detectados 2 de 2.</w:t>
      </w:r>
    </w:p>
    <w:p>
      <w:pPr>
        <w:pStyle w:val="CaptionedFigure"/>
        <w:jc w:val="center"/>
        <w:rPr/>
      </w:pPr>
      <w:r>
        <w:rPr/>
        <w:drawing>
          <wp:inline distT="0" distB="0" distL="0" distR="0">
            <wp:extent cx="5334000" cy="3378200"/>
            <wp:effectExtent l="0" t="0" r="0" b="0"/>
            <wp:docPr id="22" name="Image22" descr="Figura 22. Experimento I: confianza con dos sensores degrad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Figura 22. Experimento I: confianza con dos sensores degradados"/>
                    <pic:cNvPicPr>
                      <a:picLocks noChangeAspect="1" noChangeArrowheads="1"/>
                    </pic:cNvPicPr>
                  </pic:nvPicPr>
                  <pic:blipFill>
                    <a:blip r:embed="rId23"/>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74" w:name="experimento-i-dos-sensores-degradados"/>
      <w:r>
        <w:rPr>
          <w:i/>
          <w:sz w:val="18"/>
        </w:rPr>
        <w:t>Figura 22. Experimento I: confianza con dos sensores degradados</w:t>
      </w:r>
      <w:bookmarkEnd w:id="74"/>
    </w:p>
    <w:p>
      <w:pPr>
        <w:pStyle w:val="Heading2"/>
        <w:rPr/>
      </w:pPr>
      <w:bookmarkStart w:id="75" w:name="__RefHeading___Toc1985_196539785"/>
      <w:bookmarkStart w:id="76" w:name="experimento-j-comparación-de-métodos"/>
      <w:bookmarkEnd w:id="75"/>
      <w:r>
        <w:rPr/>
        <w:t>13.10 Experimento J – Comparación de métodos</w:t>
      </w:r>
    </w:p>
    <w:p>
      <w:pPr>
        <w:pStyle w:val="FirstParagraph"/>
        <w:rPr/>
      </w:pPr>
      <w:r>
        <w:rPr>
          <w:b/>
          <w:bCs/>
        </w:rPr>
        <w:t>Procedimiento:</w:t>
      </w:r>
      <w:r>
        <w:rPr/>
        <w:t xml:space="preserve"> cargar «Ejemplo 10 - Comparación de métodos» → pestaña </w:t>
      </w:r>
      <w:r>
        <w:rPr>
          <w:b/>
          <w:bCs/>
        </w:rPr>
        <w:t>Comparar</w:t>
      </w:r>
      <w:r>
        <w:rPr/>
        <w:t xml:space="preserve"> → revisar los métodos marcados → </w:t>
      </w:r>
      <w:r>
        <w:rPr>
          <w:b/>
          <w:bCs/>
        </w:rPr>
        <w:t>Ejecutar comparación</w:t>
      </w:r>
      <w:r>
        <w:rPr/>
        <w:t>. Todos los métodos se ejecutan sobre las mismas mediciones y se presenta la tabla comparativa.</w:t>
      </w:r>
    </w:p>
    <w:p>
      <w:pPr>
        <w:pStyle w:val="CaptionedFigure"/>
        <w:jc w:val="center"/>
        <w:rPr/>
      </w:pPr>
      <w:r>
        <w:rPr/>
        <w:drawing>
          <wp:inline distT="0" distB="0" distL="0" distR="0">
            <wp:extent cx="5334000" cy="3378200"/>
            <wp:effectExtent l="0" t="0" r="0" b="0"/>
            <wp:docPr id="23" name="Image23" descr="Figura 23. Experimento J: comparación de métodos sobre el mismo conjunto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Figura 23. Experimento J: comparación de métodos sobre el mismo conjunto de datos"/>
                    <pic:cNvPicPr>
                      <a:picLocks noChangeAspect="1" noChangeArrowheads="1"/>
                    </pic:cNvPicPr>
                  </pic:nvPicPr>
                  <pic:blipFill>
                    <a:blip r:embed="rId24"/>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77" w:name="experimento-j-comparación-de-métodos"/>
      <w:r>
        <w:rPr>
          <w:i/>
          <w:sz w:val="18"/>
        </w:rPr>
        <w:t>Figura 23. Experimento J: comparación de métodos sobre el mismo conjunto de datos</w:t>
      </w:r>
      <w:bookmarkEnd w:id="77"/>
    </w:p>
    <w:p>
      <w:pPr>
        <w:pStyle w:val="Heading2"/>
        <w:rPr/>
      </w:pPr>
      <w:bookmarkStart w:id="78" w:name="__RefHeading___Toc1987_196539785"/>
      <w:bookmarkEnd w:id="78"/>
      <w:r>
        <w:rPr/>
        <w:t>13.11 Experimento K – Monte Carlo</w:t>
      </w:r>
    </w:p>
    <w:p>
      <w:pPr>
        <w:pStyle w:val="FirstParagraph"/>
        <w:rPr/>
      </w:pPr>
      <w:r>
        <w:rPr>
          <w:b/>
          <w:bCs/>
        </w:rPr>
        <w:t>Procedimiento:</w:t>
      </w:r>
      <w:r>
        <w:rPr/>
        <w:t xml:space="preserve"> cargar «Ejemplo 11 - Monte Carlo» → pestaña </w:t>
      </w:r>
      <w:r>
        <w:rPr>
          <w:b/>
          <w:bCs/>
        </w:rPr>
        <w:t>Monte Carlo</w:t>
      </w:r>
      <w:r>
        <w:rPr/>
        <w:t xml:space="preserve"> (100 corridas, semilla maestra 2026, parámetros aleatorios: instante de fallo </w:t>
      </w:r>
      <w:r>
        <w:rPr/>
      </w:r>
      <m:oMath xmlns:m="http://schemas.openxmlformats.org/officeDocument/2006/math">
        <m:sSub>
          <m:e>
            <m:r>
              <w:rPr>
                <w:rFonts w:ascii="Cambria Math" w:hAnsi="Cambria Math"/>
              </w:rPr>
              <m:t xml:space="preserve">t</m:t>
            </m:r>
          </m:e>
          <m:sub>
            <m:r>
              <w:rPr>
                <w:rFonts w:ascii="Cambria Math" w:hAnsi="Cambria Math"/>
              </w:rPr>
              <m:t xml:space="preserve">f</m:t>
            </m:r>
          </m:sub>
        </m:sSub>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10</m:t>
        </m:r>
        <m:r>
          <w:rPr>
            <w:rFonts w:ascii="Cambria Math" w:hAnsi="Cambria Math"/>
          </w:rPr>
          <m:t xml:space="preserve">,</m:t>
        </m:r>
        <m:r>
          <w:rPr>
            <w:rFonts w:ascii="Cambria Math" w:hAnsi="Cambria Math"/>
          </w:rPr>
          <m:t xml:space="preserve">30</m:t>
        </m:r>
        <m:r>
          <w:rPr>
            <w:rFonts w:ascii="Cambria Math" w:hAnsi="Cambria Math"/>
          </w:rPr>
          <m:t xml:space="preserve">)</m:t>
        </m:r>
      </m:oMath>
      <w:r>
        <w:rPr/>
        <w:t xml:space="preserve"> s, sesgo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3</m:t>
        </m:r>
        <m:r>
          <w:rPr>
            <w:rFonts w:ascii="Cambria Math" w:hAnsi="Cambria Math"/>
          </w:rPr>
          <m:t xml:space="preserve">)</m:t>
        </m:r>
      </m:oMath>
      <w:r>
        <w:rPr/>
        <w:t xml:space="preserve"> m, desviación de S2 </w:t>
      </w:r>
      <w:r>
        <w:rPr/>
      </w:r>
      <m:oMath xmlns:m="http://schemas.openxmlformats.org/officeDocument/2006/math">
        <m:r>
          <w:rPr>
            <w:rFonts w:ascii="Cambria Math" w:hAnsi="Cambria Math"/>
          </w:rPr>
          <m:t xml:space="preserve">σ</m:t>
        </m:r>
        <m: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05</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r>
          <w:rPr>
            <w:rFonts w:ascii="Cambria Math" w:hAnsi="Cambria Math"/>
          </w:rPr>
          <m:t xml:space="preserve">)</m:t>
        </m:r>
      </m:oMath>
      <w:r>
        <w:rPr/>
        <w:t xml:space="preserve"> m) → </w:t>
      </w:r>
      <w:r>
        <w:rPr>
          <w:b/>
          <w:bCs/>
        </w:rPr>
        <w:t>Ejecutar Monte Carlo</w:t>
      </w:r>
      <w:r>
        <w:rPr/>
        <w:t>. Se muestran diagramas de caja, FDA empírica e histogramas, el resumen estadístico con intervalos de confianza y las pruebas pareadas de Wilcoxon con corrección de Holm respecto al método de referencia.</w:t>
      </w:r>
    </w:p>
    <w:p>
      <w:pPr>
        <w:pStyle w:val="CaptionedFigure"/>
        <w:jc w:val="center"/>
        <w:rPr/>
      </w:pPr>
      <w:r>
        <w:rPr/>
        <w:drawing>
          <wp:inline distT="0" distB="0" distL="0" distR="0">
            <wp:extent cx="5334000" cy="3378200"/>
            <wp:effectExtent l="0" t="0" r="0" b="0"/>
            <wp:docPr id="24" name="Image24" descr="Figura 24. Experimento K: resultado Monte Carlo (100 corr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Figura 24. Experimento K: resultado Monte Carlo (100 corridas)"/>
                    <pic:cNvPicPr>
                      <a:picLocks noChangeAspect="1" noChangeArrowheads="1"/>
                    </pic:cNvPicPr>
                  </pic:nvPicPr>
                  <pic:blipFill>
                    <a:blip r:embed="rId25"/>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24. Experimento K: resultado Monte Carlo (100 corridas)</w:t>
      </w:r>
    </w:p>
    <w:p>
      <w:pPr>
        <w:pStyle w:val="CaptionedFigure"/>
        <w:jc w:val="center"/>
        <w:rPr/>
      </w:pPr>
      <w:r>
        <w:rPr/>
        <w:drawing>
          <wp:inline distT="0" distB="0" distL="0" distR="0">
            <wp:extent cx="5334000" cy="3378200"/>
            <wp:effectExtent l="0" t="0" r="0" b="0"/>
            <wp:docPr id="25" name="Image25" descr="Figura 25. Experimento K: función de distribución empírica del retardo de det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Figura 25. Experimento K: función de distribución empírica del retardo de detección"/>
                    <pic:cNvPicPr>
                      <a:picLocks noChangeAspect="1" noChangeArrowheads="1"/>
                    </pic:cNvPicPr>
                  </pic:nvPicPr>
                  <pic:blipFill>
                    <a:blip r:embed="rId26"/>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25. Experimento K: función de distribución empírica del retardo de detección</w:t>
      </w:r>
    </w:p>
    <w:p>
      <w:pPr>
        <w:pStyle w:val="BodyText"/>
        <w:rPr/>
      </w:pPr>
      <w:r>
        <w:rPr/>
        <w:t>Tasa de éxito por método en el estudio de referencia (misma configuración):</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278"/>
        <w:gridCol w:w="2588"/>
        <w:gridCol w:w="2118"/>
        <w:gridCol w:w="1647"/>
      </w:tblGrid>
      <w:tr>
        <w:trPr>
          <w:tblHeader w:val="true"/>
        </w:trPr>
        <w:tc>
          <w:tcPr>
            <w:tcW w:w="327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Método</w:t>
            </w:r>
          </w:p>
        </w:tc>
        <w:tc>
          <w:tcPr>
            <w:tcW w:w="258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Tasa de éxito (RMSE &lt;= 0,05 m)</w:t>
            </w:r>
          </w:p>
        </w:tc>
        <w:tc>
          <w:tcPr>
            <w:tcW w:w="211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Tasa de divergencia</w:t>
            </w:r>
          </w:p>
        </w:tc>
        <w:tc>
          <w:tcPr>
            <w:tcW w:w="164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Corridas</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Ponderación por inverso de varianza</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0.14</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compuerta NIS</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bookmarkStart w:id="79" w:name="experimento-k-monte-carlo"/>
            <w:bookmarkEnd w:id="79"/>
          </w:p>
        </w:tc>
      </w:tr>
    </w:tbl>
    <w:p>
      <w:pPr>
        <w:pStyle w:val="Heading2"/>
        <w:rPr/>
      </w:pPr>
      <w:bookmarkStart w:id="80" w:name="__RefHeading___Toc1989_196539785"/>
      <w:bookmarkEnd w:id="80"/>
      <w:r>
        <w:rPr/>
        <w:t>13.12 Experimento L – Envolvente de robustez</w:t>
      </w:r>
    </w:p>
    <w:p>
      <w:pPr>
        <w:pStyle w:val="FirstParagraph"/>
        <w:rPr/>
      </w:pPr>
      <w:r>
        <w:rPr>
          <w:b/>
          <w:bCs/>
        </w:rPr>
        <w:t>Procedimiento:</w:t>
      </w:r>
      <w:r>
        <w:rPr/>
        <w:t xml:space="preserve"> cargar «Ejemplo 12 - Envolvente de robustez» → pestaña </w:t>
      </w:r>
      <w:r>
        <w:rPr>
          <w:b/>
          <w:bCs/>
        </w:rPr>
        <w:t>Análisis</w:t>
      </w:r>
      <w:r>
        <w:rPr/>
        <w:t xml:space="preserve"> → estudio «Envolvente de robustez» (parámetro: sesgo de S2; valores 0 a 5 m; especificación RMSE ≤ 0,05 m; criterio media) → </w:t>
      </w:r>
      <w:r>
        <w:rPr>
          <w:b/>
          <w:bCs/>
        </w:rPr>
        <w:t>Ejecutar análisis</w:t>
      </w:r>
      <w:r>
        <w:rPr/>
        <w:t xml:space="preserve">. La figura marca para cada método la severidad máxima tolerable </w:t>
      </w:r>
      <w:r>
        <w:rPr/>
      </w:r>
      <m:oMath xmlns:m="http://schemas.openxmlformats.org/officeDocument/2006/math">
        <m:sSup>
          <m:e>
            <m:r>
              <w:rPr>
                <w:rFonts w:ascii="Cambria Math" w:hAnsi="Cambria Math"/>
              </w:rPr>
              <m:t xml:space="preserve">b</m:t>
            </m:r>
          </m:e>
          <m:sup>
            <m:r>
              <w:rPr>
                <w:rFonts w:ascii="Cambria Math" w:hAnsi="Cambria Math"/>
              </w:rPr>
              <m:t xml:space="preserve">⋆</m:t>
            </m:r>
          </m:sup>
        </m:sSup>
      </m:oMath>
      <w:r>
        <w:rPr/>
        <w:t>; con «Calcular también mapa de robustez 2-D» se obtiene la tasa de éxito en función del sesgo y de la desviación del ruido. (Las capturas usan 10 repeticiones; el estudio de referencia usa 20.)</w:t>
      </w:r>
    </w:p>
    <w:p>
      <w:pPr>
        <w:pStyle w:val="CaptionedFigure"/>
        <w:jc w:val="center"/>
        <w:rPr/>
      </w:pPr>
      <w:r>
        <w:rPr/>
        <w:drawing>
          <wp:inline distT="0" distB="0" distL="0" distR="0">
            <wp:extent cx="5334000" cy="3378200"/>
            <wp:effectExtent l="0" t="0" r="0" b="0"/>
            <wp:docPr id="26" name="Image26" descr="Figura 26. Experimento L: envolvente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Figura 26. Experimento L: envolvente de robustez"/>
                    <pic:cNvPicPr>
                      <a:picLocks noChangeAspect="1" noChangeArrowheads="1"/>
                    </pic:cNvPicPr>
                  </pic:nvPicPr>
                  <pic:blipFill>
                    <a:blip r:embed="rId27"/>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26. Experimento L: envolvente de robustez</w:t>
      </w:r>
    </w:p>
    <w:p>
      <w:pPr>
        <w:pStyle w:val="CaptionedFigure"/>
        <w:jc w:val="center"/>
        <w:rPr/>
      </w:pPr>
      <w:r>
        <w:rPr/>
        <w:drawing>
          <wp:inline distT="0" distB="0" distL="0" distR="0">
            <wp:extent cx="5334000" cy="3378200"/>
            <wp:effectExtent l="0" t="0" r="0" b="0"/>
            <wp:docPr id="27" name="Image27" descr="Figura 27. Experimento L: mapa de robustez del filtro de Kalman con R nominal (probabilidad de cumplir la especificación en función del sesgo y de la desviación del ruido de S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Figura 27. Experimento L: mapa de robustez del filtro de Kalman con R nominal (probabilidad de cumplir la especificación en función del sesgo y de la desviación del ruido de S2)"/>
                    <pic:cNvPicPr>
                      <a:picLocks noChangeAspect="1" noChangeArrowheads="1"/>
                    </pic:cNvPicPr>
                  </pic:nvPicPr>
                  <pic:blipFill>
                    <a:blip r:embed="rId28"/>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27. Experimento L: mapa de robustez del filtro de Kalman con R nominal (probabilidad de cumplir la especificación en función del sesgo y de la desviación del ruido de S2)</w:t>
      </w:r>
    </w:p>
    <w:p>
      <w:pPr>
        <w:pStyle w:val="CaptionedFigure"/>
        <w:jc w:val="center"/>
        <w:rPr/>
      </w:pPr>
      <w:r>
        <w:rPr/>
        <w:drawing>
          <wp:inline distT="0" distB="0" distL="0" distR="0">
            <wp:extent cx="5334000" cy="3378200"/>
            <wp:effectExtent l="0" t="0" r="0" b="0"/>
            <wp:docPr id="28" name="Image28" descr="Figura 28. Experimento L: mapa de robustez de SensorTrust KF (cumple la especificación en toda la región estudi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Figura 28. Experimento L: mapa de robustez de SensorTrust KF (cumple la especificación en toda la región estudiada)"/>
                    <pic:cNvPicPr>
                      <a:picLocks noChangeAspect="1" noChangeArrowheads="1"/>
                    </pic:cNvPicPr>
                  </pic:nvPicPr>
                  <pic:blipFill>
                    <a:blip r:embed="rId29"/>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28. Experimento L: mapa de robustez de SensorTrust KF (cumple la especificación en toda la región estudiada)</w:t>
      </w:r>
    </w:p>
    <w:p>
      <w:pPr>
        <w:pStyle w:val="BodyText"/>
        <w:rPr/>
      </w:pPr>
      <w:r>
        <w:rPr/>
        <w:t>Sesgo tolerable en el estudio de referencia:</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812"/>
        <w:gridCol w:w="2208"/>
        <w:gridCol w:w="3612"/>
      </w:tblGrid>
      <w:tr>
        <w:trPr>
          <w:tblHeader w:val="true"/>
        </w:trPr>
        <w:tc>
          <w:tcPr>
            <w:tcW w:w="381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Método</w:t>
            </w:r>
          </w:p>
        </w:tc>
        <w:tc>
          <w:tcPr>
            <w:tcW w:w="220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Sesgo tolerable b* [m]</w:t>
            </w:r>
          </w:p>
        </w:tc>
        <w:tc>
          <w:tcPr>
            <w:tcW w:w="361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Límite alcanzado en el rango probado</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5.000</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(todos los valores cumplen)</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Ponderación por inverso de varianza</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ninguna</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sí</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0.242</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sí</w:t>
            </w:r>
          </w:p>
        </w:tc>
      </w:tr>
      <w:tr>
        <w:trPr/>
        <w:tc>
          <w:tcPr>
            <w:tcW w:w="38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220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5.000</w:t>
            </w:r>
          </w:p>
        </w:tc>
        <w:tc>
          <w:tcPr>
            <w:tcW w:w="361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(todos los valores cumplen)</w:t>
            </w:r>
          </w:p>
        </w:tc>
      </w:tr>
    </w:tbl>
    <w:p>
      <w:pPr>
        <w:pStyle w:val="Heading2"/>
        <w:rPr/>
      </w:pPr>
      <w:bookmarkStart w:id="81" w:name="__RefHeading___Toc1991_196539785"/>
      <w:bookmarkEnd w:id="81"/>
      <w:r>
        <w:rPr/>
        <w:t>13.13 Otros estudios disponibles</w:t>
      </w:r>
    </w:p>
    <w:p>
      <w:pPr>
        <w:pStyle w:val="FirstParagraph"/>
        <w:rPr/>
      </w:pPr>
      <w:r>
        <w:rPr/>
        <w:t xml:space="preserve">La misma pestaña </w:t>
      </w:r>
      <w:r>
        <w:rPr>
          <w:b/>
          <w:bCs/>
        </w:rPr>
        <w:t>Análisis</w:t>
      </w:r>
      <w:r>
        <w:rPr/>
        <w:t xml:space="preserve"> ejecuta barridos paramétricos (mapas de RMSE y retardo de detección sobre dos parámetros) y análisis de sensibilidad OAT, Morris y Sobol.</w:t>
      </w:r>
    </w:p>
    <w:p>
      <w:pPr>
        <w:pStyle w:val="CaptionedFigure"/>
        <w:jc w:val="center"/>
        <w:rPr/>
      </w:pPr>
      <w:r>
        <w:rPr/>
        <w:drawing>
          <wp:inline distT="0" distB="0" distL="0" distR="0">
            <wp:extent cx="5334000" cy="3378200"/>
            <wp:effectExtent l="0" t="0" r="0" b="0"/>
            <wp:docPr id="29" name="Image29" descr="Figura 29. Análisis de sensibilidad de Morris del RMSE de SensorTrust 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Figura 29. Análisis de sensibilidad de Morris del RMSE de SensorTrust KF"/>
                    <pic:cNvPicPr>
                      <a:picLocks noChangeAspect="1" noChangeArrowheads="1"/>
                    </pic:cNvPicPr>
                  </pic:nvPicPr>
                  <pic:blipFill>
                    <a:blip r:embed="rId30"/>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29. Análisis de sensibilidad de Morris del RMSE de SensorTrust KF</w:t>
      </w:r>
    </w:p>
    <w:p>
      <w:pPr>
        <w:pStyle w:val="CaptionedFigure"/>
        <w:jc w:val="center"/>
        <w:rPr/>
      </w:pPr>
      <w:r>
        <w:rPr/>
        <w:drawing>
          <wp:inline distT="0" distB="0" distL="0" distR="0">
            <wp:extent cx="5334000" cy="3378200"/>
            <wp:effectExtent l="0" t="0" r="0" b="0"/>
            <wp:docPr id="30" name="Image30" descr="Figura 30. ST-BENCH-16: sensor dominante con sesgo progre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Figura 30. ST-BENCH-16: sensor dominante con sesgo progresivo"/>
                    <pic:cNvPicPr>
                      <a:picLocks noChangeAspect="1" noChangeArrowheads="1"/>
                    </pic:cNvPicPr>
                  </pic:nvPicPr>
                  <pic:blipFill>
                    <a:blip r:embed="rId31"/>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30. ST-BENCH-16: sensor dominante con sesgo progresivo</w:t>
      </w:r>
    </w:p>
    <w:p>
      <w:pPr>
        <w:pStyle w:val="CaptionedFigure"/>
        <w:jc w:val="center"/>
        <w:rPr/>
      </w:pPr>
      <w:r>
        <w:rPr/>
        <w:drawing>
          <wp:inline distT="0" distB="0" distL="0" distR="0">
            <wp:extent cx="5334000" cy="3378200"/>
            <wp:effectExtent l="0" t="0" r="0" b="0"/>
            <wp:docPr id="31" name="Image31" descr="Figura 31. ST-BENCH-13: péndulo no lineal con EKF y UK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Figura 31. ST-BENCH-13: péndulo no lineal con EKF y UKF"/>
                    <pic:cNvPicPr>
                      <a:picLocks noChangeAspect="1" noChangeArrowheads="1"/>
                    </pic:cNvPicPr>
                  </pic:nvPicPr>
                  <pic:blipFill>
                    <a:blip r:embed="rId32"/>
                    <a:stretch>
                      <a:fillRect/>
                    </a:stretch>
                  </pic:blipFill>
                  <pic:spPr bwMode="auto">
                    <a:xfrm>
                      <a:off x="0" y="0"/>
                      <a:ext cx="5334000" cy="3378200"/>
                    </a:xfrm>
                    <a:prstGeom prst="rect">
                      <a:avLst/>
                    </a:prstGeom>
                  </pic:spPr>
                </pic:pic>
              </a:graphicData>
            </a:graphic>
          </wp:inline>
        </w:drawing>
      </w:r>
    </w:p>
    <w:p>
      <w:pPr>
        <w:pStyle w:val="ImageCaption"/>
        <w:jc w:val="center"/>
        <w:rPr/>
      </w:pPr>
      <w:bookmarkStart w:id="82" w:name="experimentos-del-manual"/>
      <w:r>
        <w:rPr>
          <w:i/>
          <w:sz w:val="18"/>
        </w:rPr>
        <w:t>Figura 31. ST-BENCH-13: péndulo no lineal con EKF y UKF</w:t>
      </w:r>
      <w:bookmarkEnd w:id="82"/>
    </w:p>
    <w:p>
      <w:pPr>
        <w:pStyle w:val="Heading1"/>
        <w:rPr/>
      </w:pPr>
      <w:bookmarkStart w:id="83" w:name="__RefHeading___Toc1993_196539785"/>
      <w:bookmarkStart w:id="84" w:name="monte-carlo"/>
      <w:bookmarkEnd w:id="83"/>
      <w:r>
        <w:rPr/>
        <w:t>14. Monte Carlo</w:t>
      </w:r>
    </w:p>
    <w:p>
      <w:pPr>
        <w:pStyle w:val="FirstParagraph"/>
        <w:rPr/>
      </w:pPr>
      <w:r>
        <w:rPr/>
        <w:t xml:space="preserve">La pestaña </w:t>
      </w:r>
      <w:r>
        <w:rPr>
          <w:b/>
          <w:bCs/>
        </w:rPr>
        <w:t>Monte Carlo</w:t>
      </w:r>
      <w:r>
        <w:rPr/>
        <w:t xml:space="preserve"> configura el número de corridas, la semilla maestra, el diseño de muestreo (aleatorio, hipercubo latino o Sobol), el número de procesos (0 = todos los núcleos) y el método de referencia de las pruebas pareadas. En </w:t>
      </w:r>
      <w:r>
        <w:rPr>
          <w:b/>
          <w:bCs/>
        </w:rPr>
        <w:t>Parámetros aleatorizados</w:t>
      </w:r>
      <w:r>
        <w:rPr/>
        <w:t xml:space="preserve"> agregue filas con el parámetro (lista desplegable que muestra el nombre legible y la ruta en la configuración, por ejemplo «S2: severidad de la degradación | sensors[1].degradations[0].severity»; también puede escribirse otra ruta), una etiqueta, la distribución (uniforme, log-uniforme, normal o entera) y sus límites. Cada corrida guarda su semilla y sus parámetros; todas las técnicas se evalúan sobre el mismo escenario de cada corrida. Los resultados se guardan en </w:t>
      </w:r>
      <w:r>
        <w:rPr>
          <w:rStyle w:val="VerbatimChar"/>
        </w:rPr>
        <w:t>results/ST_MC_&lt;año&gt;_&lt;número&gt;/</w:t>
      </w:r>
      <w:r>
        <w:rPr/>
        <w:t>.</w:t>
      </w:r>
      <w:bookmarkEnd w:id="84"/>
    </w:p>
    <w:p>
      <w:pPr>
        <w:pStyle w:val="Heading1"/>
        <w:rPr/>
      </w:pPr>
      <w:bookmarkStart w:id="85" w:name="__RefHeading___Toc1995_196539785"/>
      <w:bookmarkStart w:id="86" w:name="comparación-de-métodos"/>
      <w:bookmarkEnd w:id="85"/>
      <w:r>
        <w:rPr/>
        <w:t>15. Comparación de métodos</w:t>
      </w:r>
    </w:p>
    <w:p>
      <w:pPr>
        <w:pStyle w:val="FirstParagraph"/>
        <w:rPr/>
      </w:pPr>
      <w:r>
        <w:rPr/>
        <w:t xml:space="preserve">La pestaña </w:t>
      </w:r>
      <w:r>
        <w:rPr>
          <w:b/>
          <w:bCs/>
        </w:rPr>
        <w:t>Comparar</w:t>
      </w:r>
      <w:r>
        <w:rPr/>
        <w:t xml:space="preserve"> lista todos los métodos con casillas. </w:t>
      </w:r>
      <w:r>
        <w:rPr>
          <w:b/>
          <w:bCs/>
        </w:rPr>
        <w:t>Ejecutar comparación</w:t>
      </w:r>
      <w:r>
        <w:rPr/>
        <w:t xml:space="preserve"> genera un único escenario (misma semilla) y ejecuta sobre él todos los métodos marcados, mostrando la tabla comparativa y las figuras de RMSE, estimaciones, error y retardo de detección. La comparación queda también disponible en </w:t>
      </w:r>
      <w:r>
        <w:rPr>
          <w:b/>
          <w:bCs/>
        </w:rPr>
        <w:t>Resultados</w:t>
      </w:r>
      <w:r>
        <w:rPr/>
        <w:t xml:space="preserve"> y se guarda como un experimento.</w:t>
      </w:r>
      <w:bookmarkEnd w:id="86"/>
    </w:p>
    <w:p>
      <w:pPr>
        <w:pStyle w:val="Heading1"/>
        <w:rPr/>
      </w:pPr>
      <w:bookmarkStart w:id="87" w:name="__RefHeading___Toc1997_196539785"/>
      <w:bookmarkStart w:id="88" w:name="exportación-y-reproducibilidad"/>
      <w:bookmarkEnd w:id="87"/>
      <w:r>
        <w:rPr/>
        <w:t>16. Exportación y reproducibilidad</w:t>
      </w:r>
    </w:p>
    <w:p>
      <w:pPr>
        <w:pStyle w:val="CaptionedFigure"/>
        <w:jc w:val="center"/>
        <w:rPr/>
      </w:pPr>
      <w:r>
        <w:rPr/>
        <w:drawing>
          <wp:inline distT="0" distB="0" distL="0" distR="0">
            <wp:extent cx="5334000" cy="3378200"/>
            <wp:effectExtent l="0" t="0" r="0" b="0"/>
            <wp:docPr id="32" name="Image32" descr="Figura 32. Pestaña Exportar con el manifiesto de reproduc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Figura 32. Pestaña Exportar con el manifiesto de reproducibilidad"/>
                    <pic:cNvPicPr>
                      <a:picLocks noChangeAspect="1" noChangeArrowheads="1"/>
                    </pic:cNvPicPr>
                  </pic:nvPicPr>
                  <pic:blipFill>
                    <a:blip r:embed="rId33"/>
                    <a:stretch>
                      <a:fillRect/>
                    </a:stretch>
                  </pic:blipFill>
                  <pic:spPr bwMode="auto">
                    <a:xfrm>
                      <a:off x="0" y="0"/>
                      <a:ext cx="5334000" cy="3378200"/>
                    </a:xfrm>
                    <a:prstGeom prst="rect">
                      <a:avLst/>
                    </a:prstGeom>
                  </pic:spPr>
                </pic:pic>
              </a:graphicData>
            </a:graphic>
          </wp:inline>
        </w:drawing>
      </w:r>
    </w:p>
    <w:p>
      <w:pPr>
        <w:pStyle w:val="ImageCaption"/>
        <w:jc w:val="center"/>
        <w:rPr/>
      </w:pPr>
      <w:r>
        <w:rPr>
          <w:i/>
          <w:sz w:val="18"/>
        </w:rPr>
        <w:t>Figura 32. Pestaña Exportar con el manifiesto de reproducibilidad</w:t>
      </w:r>
    </w:p>
    <w:p>
      <w:pPr>
        <w:pStyle w:val="BodyText"/>
        <w:rPr/>
      </w:pPr>
      <w:r>
        <w:rPr/>
        <w:t xml:space="preserve">Cada experimento crea un directorio con </w:t>
      </w:r>
      <w:r>
        <w:rPr>
          <w:rStyle w:val="VerbatimChar"/>
        </w:rPr>
        <w:t>config.yaml</w:t>
      </w:r>
      <w:r>
        <w:rPr/>
        <w:t xml:space="preserve">, </w:t>
      </w:r>
      <w:r>
        <w:rPr>
          <w:rStyle w:val="VerbatimChar"/>
        </w:rPr>
        <w:t>manifest.json</w:t>
      </w:r>
      <w:r>
        <w:rPr/>
        <w:t xml:space="preserve">, </w:t>
      </w:r>
      <w:r>
        <w:rPr>
          <w:rStyle w:val="VerbatimChar"/>
        </w:rPr>
        <w:t>dataset.csv</w:t>
      </w:r>
      <w:r>
        <w:rPr/>
        <w:t xml:space="preserve">, </w:t>
      </w:r>
      <w:r>
        <w:rPr>
          <w:rStyle w:val="VerbatimChar"/>
        </w:rPr>
        <w:t>estimates.csv</w:t>
      </w:r>
      <w:r>
        <w:rPr/>
        <w:t xml:space="preserve">, </w:t>
      </w:r>
      <w:r>
        <w:rPr>
          <w:rStyle w:val="VerbatimChar"/>
        </w:rPr>
        <w:t>trust.csv</w:t>
      </w:r>
      <w:r>
        <w:rPr/>
        <w:t xml:space="preserve">, </w:t>
      </w:r>
      <w:r>
        <w:rPr>
          <w:rStyle w:val="VerbatimChar"/>
        </w:rPr>
        <w:t>innovations.csv</w:t>
      </w:r>
      <w:r>
        <w:rPr/>
        <w:t xml:space="preserve">, </w:t>
      </w:r>
      <w:r>
        <w:rPr>
          <w:rStyle w:val="VerbatimChar"/>
        </w:rPr>
        <w:t>metrics.json</w:t>
      </w:r>
      <w:r>
        <w:rPr/>
        <w:t xml:space="preserve">, </w:t>
      </w:r>
      <w:r>
        <w:rPr>
          <w:rStyle w:val="VerbatimChar"/>
        </w:rPr>
        <w:t>metrics.csv</w:t>
      </w:r>
      <w:r>
        <w:rPr/>
        <w:t xml:space="preserve">, </w:t>
      </w:r>
      <w:r>
        <w:rPr>
          <w:rStyle w:val="VerbatimChar"/>
        </w:rPr>
        <w:t>figures/</w:t>
      </w:r>
      <w:r>
        <w:rPr/>
        <w:t xml:space="preserve"> y </w:t>
      </w:r>
      <w:r>
        <w:rPr>
          <w:rStyle w:val="VerbatimChar"/>
        </w:rPr>
        <w:t>run.log</w:t>
      </w:r>
      <w:r>
        <w:rPr/>
        <w:t xml:space="preserve">. La pestaña </w:t>
      </w:r>
      <w:r>
        <w:rPr>
          <w:b/>
          <w:bCs/>
        </w:rPr>
        <w:t>Exportar</w:t>
      </w:r>
      <w:r>
        <w:rPr/>
        <w:t xml:space="preserve"> permite abrir la carpeta, exportar todas las figuras en PNG, SVG y PDF, exportar la configuración (YAML o JSON), el conjunto de datos y la tabla de métricas, y </w:t>
      </w:r>
      <w:r>
        <w:rPr>
          <w:b/>
          <w:bCs/>
        </w:rPr>
        <w:t>Verificar reproducibilidad</w:t>
      </w:r>
      <w:r>
        <w:rPr/>
        <w:t>, que regenera el escenario y compara la huella SHA-256 del conjunto de datos y de la configuración con las del manifiesto. Con la misma configuración y semilla se obtienen exactamente las mismas mediciones y resultados.</w:t>
      </w:r>
    </w:p>
    <w:p>
      <w:pPr>
        <w:pStyle w:val="BodyText"/>
        <w:rPr/>
      </w:pPr>
      <w:r>
        <w:rPr>
          <w:b/>
          <w:bCs/>
        </w:rPr>
        <w:t>Importar conjunto de datos externo (opcional):</w:t>
      </w:r>
      <w:r>
        <w:rPr/>
        <w:t xml:space="preserve"> indique la columna de tiempo (muestreo uniforme) y, si existen, las columnas de valor verdadero; las columnas de sensores se asocian por el nombre de los sensores configurados. Sin valor verdadero se desactivan automáticamente las métricas que lo requieren.</w:t>
      </w:r>
      <w:bookmarkEnd w:id="88"/>
    </w:p>
    <w:p>
      <w:pPr>
        <w:pStyle w:val="Heading1"/>
        <w:rPr/>
      </w:pPr>
      <w:bookmarkStart w:id="89" w:name="__RefHeading___Toc1999_196539785"/>
      <w:bookmarkEnd w:id="89"/>
      <w:r>
        <w:rPr/>
        <w:t>17. Solución de problemas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210"/>
        <w:gridCol w:w="3211"/>
        <w:gridCol w:w="3211"/>
      </w:tblGrid>
      <w:tr>
        <w:trPr>
          <w:tblHeader w:val="true"/>
        </w:trPr>
        <w:tc>
          <w:tcPr>
            <w:tcW w:w="321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Síntoma</w:t>
            </w:r>
          </w:p>
        </w:tc>
        <w:tc>
          <w:tcPr>
            <w:tcW w:w="321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Causa probable</w:t>
            </w:r>
          </w:p>
        </w:tc>
        <w:tc>
          <w:tcPr>
            <w:tcW w:w="321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Solución</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«Error de configuración» al ejecutar</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parámetro fuera de rango, instante de fallo fuera del horizonte, dimensiones incompatibles, covarianza no válida o semilla inválida</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leer el mensaje, corregir el campo indicado y usar </w:t>
            </w:r>
            <w:r>
              <w:rPr>
                <w:rFonts w:eastAsia="" w:cs=""/>
                <w:b/>
                <w:bCs/>
                <w:kern w:val="0"/>
                <w:sz w:val="17"/>
                <w:szCs w:val="24"/>
                <w:lang w:val="en-US" w:eastAsia="zh-CN" w:bidi="ar-SA"/>
              </w:rPr>
              <w:t>Validar configuración</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Un método aparece como «no aplicable»</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promedio estático con sensores que miden variables distintas, o KF lineal con modelo/sensor no lineal</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usar un método con filtro o EKF/UKF</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La confianza de un sensor sano disminuye</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zona muerta o escala demasiado pequeñas, o desajuste entre la desviación nominal y la real</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revisar la desviación supuesta del sensor y los parámetros de la pestaña Confianza</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Un fallo no se detecta</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la degradación no altera la innovación (p. ej., pérdida de muestras) o es menor que la zona muerta</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revisar la severidad; ver limitaciones en el Manual Técnico</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Monte Carlo lento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muchas corridas o métodos</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reducir la duración, las corridas o los métodos; usar procesos = 0 (todos los núcleos); </w:t>
            </w:r>
            <w:r>
              <w:rPr>
                <w:rFonts w:eastAsia="" w:cs=""/>
                <w:b/>
                <w:bCs/>
                <w:kern w:val="0"/>
                <w:sz w:val="17"/>
                <w:szCs w:val="24"/>
                <w:lang w:val="en-US" w:eastAsia="zh-CN" w:bidi="ar-SA"/>
              </w:rPr>
              <w:t>Cancelar</w:t>
            </w:r>
            <w:r>
              <w:rPr>
                <w:rFonts w:eastAsia="" w:cs=""/>
                <w:kern w:val="0"/>
                <w:sz w:val="17"/>
                <w:szCs w:val="24"/>
                <w:lang w:val="en-US" w:eastAsia="zh-CN" w:bidi="ar-SA"/>
              </w:rPr>
              <w:t xml:space="preserve"> detiene el estudio</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La interfaz no abre en Linux</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faltan bibliotecas gráficas del sistema</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instalar </w:t>
            </w:r>
            <w:r>
              <w:rPr>
                <w:rStyle w:val="VerbatimChar"/>
                <w:rFonts w:eastAsia="" w:cs=""/>
                <w:kern w:val="0"/>
                <w:sz w:val="17"/>
                <w:szCs w:val="24"/>
                <w:lang w:val="en-US" w:eastAsia="zh-CN" w:bidi="ar-SA"/>
              </w:rPr>
              <w:t>libegl1 libgl1 libxkbcommon0 libfontconfig1</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El ejecutable tarda en abrir</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descompresión inicial del archivo único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esperar; las siguientes aperturas son más rápidas</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se puede leer un archivo importado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columnas inexistentes, tiempo no uniforme o formato no soportado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revisar nombres de columnas y usar CSV, TXT o JSON</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Aparece el aviso «Error inesperado»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una operación no pudo completarse (por ejemplo, un archivo sin permisos de escritura)</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la aplicación permanece abierta; revisar el detalle del aviso y el registro </w:t>
            </w:r>
            <w:r>
              <w:rPr>
                <w:rStyle w:val="VerbatimChar"/>
                <w:rFonts w:eastAsia="" w:cs=""/>
                <w:kern w:val="0"/>
                <w:sz w:val="17"/>
                <w:szCs w:val="24"/>
                <w:lang w:val="en-US" w:eastAsia="zh-CN" w:bidi="ar-SA"/>
              </w:rPr>
              <w:t>sensortrust_gui.log</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Los botones de Exportar muestran un aviso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aún no se ha ejecutado ningún experimento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ejecutar un experimento y volver a la pestaña Exportar</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«Error de sintaxis en la línea …, columna …» al abrir una configuración</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el archivo YAML/JSON está mal formado</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corregir el archivo en la línea y columna indicadas</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se puede escribir en el directorio de resultados»</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la carpeta no existe y no puede crearse, o no hay permisos de escritura</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elegir otra carpeta con </w:t>
            </w:r>
            <w:r>
              <w:rPr>
                <w:rFonts w:eastAsia="" w:cs=""/>
                <w:b/>
                <w:bCs/>
                <w:kern w:val="0"/>
                <w:sz w:val="17"/>
                <w:szCs w:val="24"/>
                <w:lang w:val="en-US" w:eastAsia="zh-CN" w:bidi="ar-SA"/>
              </w:rPr>
              <w:t>Examinar…</w:t>
            </w:r>
            <w:r>
              <w:rPr>
                <w:rFonts w:eastAsia="" w:cs=""/>
                <w:kern w:val="0"/>
                <w:sz w:val="17"/>
                <w:szCs w:val="24"/>
                <w:lang w:val="en-US" w:eastAsia="zh-CN" w:bidi="ar-SA"/>
              </w:rPr>
              <w:t xml:space="preserve"> en la pestaña Experimento</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«Pesos fijos: se indicaron … valores pero hay … sensores»</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el número de pesos no coincide con el de sensores</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escribir un peso por sensor en la pestaña Fusión</w:t>
            </w:r>
          </w:p>
        </w:tc>
      </w:tr>
      <w:tr>
        <w:trPr/>
        <w:tc>
          <w:tcPr>
            <w:tcW w:w="32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Resultados distintos entre dos ejecuciones</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semilla o configuración diferentes</w:t>
            </w:r>
          </w:p>
        </w:tc>
        <w:tc>
          <w:tcPr>
            <w:tcW w:w="321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comparar </w:t>
            </w:r>
            <w:r>
              <w:rPr>
                <w:rStyle w:val="VerbatimChar"/>
                <w:rFonts w:eastAsia="" w:cs=""/>
                <w:kern w:val="0"/>
                <w:sz w:val="17"/>
                <w:szCs w:val="24"/>
                <w:lang w:val="en-US" w:eastAsia="zh-CN" w:bidi="ar-SA"/>
              </w:rPr>
              <w:t>manifest.json</w:t>
            </w:r>
            <w:r>
              <w:rPr>
                <w:rFonts w:eastAsia="" w:cs=""/>
                <w:kern w:val="0"/>
                <w:sz w:val="17"/>
                <w:szCs w:val="24"/>
                <w:lang w:val="en-US" w:eastAsia="zh-CN" w:bidi="ar-SA"/>
              </w:rPr>
              <w:t xml:space="preserve"> o usar </w:t>
            </w:r>
            <w:r>
              <w:rPr>
                <w:rFonts w:eastAsia="" w:cs=""/>
                <w:b/>
                <w:bCs/>
                <w:kern w:val="0"/>
                <w:sz w:val="17"/>
                <w:szCs w:val="24"/>
                <w:lang w:val="en-US" w:eastAsia="zh-CN" w:bidi="ar-SA"/>
              </w:rPr>
              <w:t>Verificar reproducibilidad</w:t>
            </w:r>
            <w:bookmarkStart w:id="90" w:name="solución-de-problemas"/>
            <w:bookmarkEnd w:id="90"/>
          </w:p>
        </w:tc>
      </w:tr>
    </w:tbl>
    <w:sectPr>
      <w:headerReference w:type="even" r:id="rId34"/>
      <w:headerReference w:type="default" r:id="rId35"/>
      <w:headerReference w:type="first" r:id="rId36"/>
      <w:footerReference w:type="even" r:id="rId37"/>
      <w:footerReference w:type="default" r:id="rId38"/>
      <w:footerReference w:type="first" r:id="rId39"/>
      <w:type w:val="nextPage"/>
      <w:pgSz w:w="12240" w:h="15840"/>
      <w:pgMar w:left="1304" w:right="1304" w:gutter="0" w:header="720" w:top="1247" w:footer="720" w:bottom="124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31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52514E"/>
        <w:sz w:val="16"/>
      </w:rPr>
      <w:t>SensorTrust Fusion v1.0.0 – Manual de Usuario del Programa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52514E"/>
        <w:sz w:val="16"/>
      </w:rPr>
      <w:t>SensorTrust Fusion v1.0.0 – Manual de Usuario del Programa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1"/>
    <w:lvlOverride w:ilvl="0">
      <w:startOverride w:val="1"/>
    </w:lvlOverride>
  </w:num>
  <w:num w:numId="9">
    <w:abstractNumId w:val="1"/>
  </w:num>
  <w:num w:numId="10">
    <w:abstractNumId w:val="1"/>
  </w:num>
  <w:num w:numId="11">
    <w:abstractNumId w:val="1"/>
  </w:num>
  <w:num w:numId="12">
    <w:abstractNumId w:val="1"/>
  </w:num>
  <w:num w:numId="13">
    <w:abstractNumId w:val="1"/>
  </w:num>
  <w:num w:numId="14">
    <w:abstractNumId w:val="1"/>
    <w:lvlOverride w:ilvl="0">
      <w:startOverride w:val="1"/>
    </w:lvlOverride>
  </w:num>
  <w:num w:numId="15">
    <w:abstractNumId w:val="1"/>
  </w:num>
  <w:num w:numId="16">
    <w:abstractNumId w:val="1"/>
  </w:num>
  <w:num w:numId="17">
    <w:abstractNumId w:val="1"/>
    <w:lvlOverride w:ilvl="0">
      <w:startOverride w:val="1"/>
    </w:lvlOverride>
  </w:num>
  <w:num w:numId="18">
    <w:abstractNumId w:val="1"/>
  </w:num>
  <w:num w:numId="19">
    <w:abstractNumId w:val="1"/>
  </w:num>
  <w:num w:numId="20">
    <w:abstractNumId w:val="1"/>
  </w:num>
  <w:num w:numId="2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 w:cs="" w:cstheme="minorBidi" w:eastAsiaTheme="minorEastAsia"/>
      <w:color w:val="auto"/>
      <w:kern w:val="0"/>
      <w:sz w:val="22"/>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b/>
      <w:color w:val="003E7E"/>
      <w:sz w:val="32"/>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b/>
      <w:color w:val="0D366B"/>
      <w:sz w:val="26"/>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ascii="Calibri" w:hAnsi="Calibri" w:eastAsia="" w:cs="" w:cstheme="majorBidi" w:eastAsiaTheme="majorEastAsia"/>
      <w:b/>
      <w:color w:val="0D366B"/>
      <w:sz w:val="23"/>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rFonts w:ascii="Calibri" w:hAnsi="Calibri"/>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rFonts w:ascii="Calibri" w:hAnsi="Calibri"/>
      <w:sz w:val="22"/>
    </w:rPr>
  </w:style>
  <w:style w:type="paragraph" w:styleId="Compact" w:customStyle="1">
    <w:name w:val="Compact"/>
    <w:basedOn w:val="BodyText"/>
    <w:qFormat/>
    <w:pPr>
      <w:spacing w:before="36" w:after="36"/>
    </w:pPr>
    <w:rPr>
      <w:rFonts w:ascii="Calibri" w:hAnsi="Calibri"/>
      <w:sz w:val="22"/>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b/>
      <w:color w:val="003E7E"/>
      <w:sz w:val="48"/>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2" w:leader="dot"/>
      </w:tabs>
      <w:ind w:hanging="0" w:left="0"/>
    </w:pPr>
    <w:rPr/>
  </w:style>
  <w:style w:type="paragraph" w:styleId="TOC2">
    <w:name w:val="TOC 2"/>
    <w:basedOn w:val="Index"/>
    <w:pPr>
      <w:tabs>
        <w:tab w:val="clear" w:pos="720"/>
        <w:tab w:val="right" w:pos="9349"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header" Target="header1.xml"/><Relationship Id="rId35" Type="http://schemas.openxmlformats.org/officeDocument/2006/relationships/header" Target="header2.xml"/><Relationship Id="rId36" Type="http://schemas.openxmlformats.org/officeDocument/2006/relationships/header" Target="header3.xm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2026-09-26T01:51:56Z</dcterms:created>
  <dc:creator>Francisco Javier Burgos Flórez</dc:creator>
  <dc:description/>
  <cp:keywords>multisensor fusion sensor trust innovation Kalman filter Monte Carlo reproducibility</cp:keywords>
  <dc:language>es-CO</dc:language>
  <cp:lastModifiedBy/>
  <dcterms:modified xsi:type="dcterms:W3CDTF">2026-09-26T01:51:59Z</dcterms:modified>
  <cp:revision>1</cp:revision>
  <dc:subject>A Scientific Platform for Adaptive Multisensor Fusion Under Sensor Degradation and Uncertainty</dc:subject>
  <dc:title>SensorTrust Fusion v1.0.0 – Manual de Usuario del Programa</dc:title>
</cp:coreProperties>
</file>

<file path=docProps/custom.xml><?xml version="1.0" encoding="utf-8"?>
<Properties xmlns="http://schemas.openxmlformats.org/officeDocument/2006/custom-properties" xmlns:vt="http://schemas.openxmlformats.org/officeDocument/2006/docPropsVTypes"/>
</file>