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40"/>
      </w:pPr>
      <w:r>
        <w:rPr>
          <w:rFonts w:ascii="Calibri" w:hAnsi="Calibri"/>
          <w:b/>
          <w:color w:val="0B6B5C"/>
          <w:sz w:val="20"/>
        </w:rPr>
        <w:t>INFORME DE AVANCE</w:t>
      </w:r>
    </w:p>
    <w:p>
      <w:pPr>
        <w:spacing w:after="100"/>
      </w:pPr>
      <w:r>
        <w:rPr>
          <w:rFonts w:ascii="Calibri" w:hAnsi="Calibri"/>
          <w:b/>
          <w:color w:val="114B3A"/>
          <w:sz w:val="52"/>
        </w:rPr>
        <w:t>Resumen de implementaciones Odoo</w:t>
      </w:r>
    </w:p>
    <w:p>
      <w:pPr>
        <w:spacing w:after="320"/>
      </w:pPr>
      <w:r>
        <w:rPr>
          <w:rFonts w:ascii="Calibri" w:hAnsi="Calibri"/>
          <w:color w:val="5F6B66"/>
          <w:sz w:val="27"/>
        </w:rPr>
        <w:t>Trabajo ejecutado entre el 28 y 29 de agosto de 2026</w:t>
      </w:r>
    </w:p>
    <w:p>
      <w:pPr>
        <w:spacing w:after="40"/>
      </w:pPr>
      <w:r>
        <w:rPr>
          <w:rFonts w:ascii="Calibri" w:hAnsi="Calibri"/>
          <w:b/>
          <w:color w:val="114B3A"/>
          <w:sz w:val="21"/>
        </w:rPr>
        <w:t xml:space="preserve">Proyecto: </w:t>
      </w:r>
      <w:r>
        <w:rPr>
          <w:rFonts w:ascii="Calibri" w:hAnsi="Calibri"/>
          <w:color w:val="1B2521"/>
          <w:sz w:val="21"/>
        </w:rPr>
        <w:t>Steps - aplicaciones agrícolas, Nómina y Contabilidad</w:t>
      </w:r>
    </w:p>
    <w:p>
      <w:pPr>
        <w:spacing w:after="40"/>
      </w:pPr>
      <w:r>
        <w:rPr>
          <w:rFonts w:ascii="Calibri" w:hAnsi="Calibri"/>
          <w:b/>
          <w:color w:val="114B3A"/>
          <w:sz w:val="21"/>
        </w:rPr>
        <w:t xml:space="preserve">Ambientes: </w:t>
      </w:r>
      <w:r>
        <w:rPr>
          <w:rFonts w:ascii="Calibri" w:hAnsi="Calibri"/>
          <w:color w:val="1B2521"/>
          <w:sz w:val="21"/>
        </w:rPr>
        <w:t>Desarrollo, Demo y Demo-SyS, según compatibilidad</w:t>
      </w:r>
    </w:p>
    <w:p>
      <w:pPr>
        <w:spacing w:after="40"/>
      </w:pPr>
      <w:r>
        <w:rPr>
          <w:rFonts w:ascii="Calibri" w:hAnsi="Calibri"/>
          <w:b/>
          <w:color w:val="114B3A"/>
          <w:sz w:val="21"/>
        </w:rPr>
        <w:t xml:space="preserve">Objetivo: </w:t>
      </w:r>
      <w:r>
        <w:rPr>
          <w:rFonts w:ascii="Calibri" w:hAnsi="Calibri"/>
          <w:color w:val="1B2521"/>
          <w:sz w:val="21"/>
        </w:rPr>
        <w:t>Convertir prototipos en módulos Odoo 18 homologados, seguros y demostrables</w:t>
      </w:r>
    </w:p>
    <w:p>
      <w:pPr>
        <w:spacing w:after="40"/>
      </w:pPr>
      <w:r>
        <w:rPr>
          <w:rFonts w:ascii="Calibri" w:hAnsi="Calibri"/>
          <w:b/>
          <w:color w:val="114B3A"/>
          <w:sz w:val="21"/>
        </w:rPr>
        <w:t xml:space="preserve">Estado: </w:t>
      </w:r>
      <w:r>
        <w:rPr>
          <w:rFonts w:ascii="Calibri" w:hAnsi="Calibri"/>
          <w:color w:val="1B2521"/>
          <w:sz w:val="21"/>
        </w:rPr>
        <w:t>Cinco frentes principales implementados y validados</w:t>
      </w:r>
    </w:p>
    <w:p>
      <w:pPr>
        <w:spacing w:before="80" w:after="240" w:line="264" w:lineRule="auto"/>
        <w:ind w:left="259" w:right="173"/>
        <w:shd w:fill="E7F3EF"/>
        <w:pBdr>
          <w:left w:val="single" w:sz="24" w:space="8" w:color="0B6B5C"/>
        </w:pBdr>
      </w:pPr>
      <w:r>
        <w:rPr>
          <w:rFonts w:ascii="Calibri" w:hAnsi="Calibri"/>
          <w:b/>
          <w:color w:val="114B3A"/>
        </w:rPr>
        <w:t xml:space="preserve">Resultado ejecutivo. </w:t>
      </w:r>
      <w:r>
        <w:rPr>
          <w:rFonts w:ascii="Calibri" w:hAnsi="Calibri"/>
          <w:color w:val="1B2521"/>
        </w:rPr>
        <w:t>Se consolidaron Previred, contabilidad bimoneda, Maquinaria/BPA, la limpieza de aplicaciones Studio y Tesorería. Los despliegues dirigidos quedaron respaldados y sin mezclar los datos de las bases.</w:t>
      </w:r>
    </w:p>
    <w:p>
      <w:pPr>
        <w:pStyle w:val="Heading1"/>
        <w:keepNext/>
      </w:pPr>
      <w:r>
        <w:rPr>
          <w:rFonts w:ascii="Calibri" w:hAnsi="Calibri"/>
          <w:b/>
          <w:color w:val="0B6B5C"/>
        </w:rPr>
        <w:t>1. Panorama general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20"/>
        <w:gridCol w:w="1700"/>
        <w:gridCol w:w="1540"/>
      </w:tblGrid>
      <w:tr>
        <w:trPr>
          <w:tblHeader w:val="true"/>
        </w:trPr>
        <w:tc>
          <w:tcPr>
            <w:tcW w:type="dxa" w:w="1900"/>
            <w:shd w:fill="114B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Frente</w:t>
            </w:r>
          </w:p>
        </w:tc>
        <w:tc>
          <w:tcPr>
            <w:tcW w:type="dxa" w:w="4220"/>
            <w:shd w:fill="114B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principal</w:t>
            </w:r>
          </w:p>
        </w:tc>
        <w:tc>
          <w:tcPr>
            <w:tcW w:type="dxa" w:w="1700"/>
            <w:shd w:fill="114B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Ambientes</w:t>
            </w:r>
          </w:p>
        </w:tc>
        <w:tc>
          <w:tcPr>
            <w:tcW w:type="dxa" w:w="1540"/>
            <w:shd w:fill="114B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8"/>
              </w:rPr>
              <w:t>Previred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8"/>
              </w:rPr>
              <w:t>Dataset versionado y corrección de campos 13, 93 y 105.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8"/>
              </w:rPr>
              <w:t>Dev / Demo / SyS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4B3A"/>
                <w:sz w:val="18"/>
              </w:rPr>
              <w:t>Completado</w:t>
            </w:r>
          </w:p>
        </w:tc>
      </w:tr>
      <w:tr>
        <w:tc>
          <w:tcPr>
            <w:tcW w:type="dxa" w:w="1900"/>
            <w:shd w:fill="F3F8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8"/>
              </w:rPr>
              <w:t>Bimoneda</w:t>
            </w:r>
          </w:p>
        </w:tc>
        <w:tc>
          <w:tcPr>
            <w:tcW w:type="dxa" w:w="4220"/>
            <w:shd w:fill="F3F8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8"/>
              </w:rPr>
              <w:t>Segunda moneda persistida en asientos, pagos y reportes.</w:t>
            </w:r>
          </w:p>
        </w:tc>
        <w:tc>
          <w:tcPr>
            <w:tcW w:type="dxa" w:w="1700"/>
            <w:shd w:fill="F3F8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8"/>
              </w:rPr>
              <w:t>Dev / Demo / SyS</w:t>
            </w:r>
          </w:p>
        </w:tc>
        <w:tc>
          <w:tcPr>
            <w:tcW w:type="dxa" w:w="1540"/>
            <w:shd w:fill="F3F8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4B3A"/>
                <w:sz w:val="18"/>
              </w:rPr>
              <w:t>Completado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8"/>
              </w:rPr>
              <w:t>Maquinaria y BPA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8"/>
              </w:rPr>
              <w:t>OT correlativa, catálogo, costeo, contabilidad e integración BPA.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8"/>
              </w:rPr>
              <w:t>Dev / Demo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4B3A"/>
                <w:sz w:val="18"/>
              </w:rPr>
              <w:t>Completado</w:t>
            </w:r>
          </w:p>
        </w:tc>
      </w:tr>
      <w:tr>
        <w:tc>
          <w:tcPr>
            <w:tcW w:type="dxa" w:w="1900"/>
            <w:shd w:fill="F3F8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8"/>
              </w:rPr>
              <w:t>Apps y Studio</w:t>
            </w:r>
          </w:p>
        </w:tc>
        <w:tc>
          <w:tcPr>
            <w:tcW w:type="dxa" w:w="4220"/>
            <w:shd w:fill="F3F8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8"/>
              </w:rPr>
              <w:t>Fusión de menús, conservación de funciones únicas y retiro de duplicados.</w:t>
            </w:r>
          </w:p>
        </w:tc>
        <w:tc>
          <w:tcPr>
            <w:tcW w:type="dxa" w:w="1700"/>
            <w:shd w:fill="F3F8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8"/>
              </w:rPr>
              <w:t>Dev / Demo</w:t>
            </w:r>
          </w:p>
        </w:tc>
        <w:tc>
          <w:tcPr>
            <w:tcW w:type="dxa" w:w="1540"/>
            <w:shd w:fill="F3F8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4B3A"/>
                <w:sz w:val="18"/>
              </w:rPr>
              <w:t>Completado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8"/>
              </w:rPr>
              <w:t>Tesorería</w:t>
            </w:r>
          </w:p>
        </w:tc>
        <w:tc>
          <w:tcPr>
            <w:tcW w:type="dxa" w:w="4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8"/>
              </w:rPr>
              <w:t>Flujo de caja a cinco semanas, seguridad, migración y exportación XLSX.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8"/>
              </w:rPr>
              <w:t>Dev / Demo / SyS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14B3A"/>
                <w:sz w:val="18"/>
              </w:rPr>
              <w:t>Completado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0B6B5C"/>
        </w:rPr>
        <w:t>2. Implementaciones realizadas</w:t>
      </w:r>
    </w:p>
    <w:p>
      <w:pPr>
        <w:pStyle w:val="Heading2"/>
        <w:keepNext/>
      </w:pPr>
      <w:r>
        <w:rPr>
          <w:rFonts w:ascii="Calibri" w:hAnsi="Calibri"/>
          <w:b/>
          <w:color w:val="0B6B5C"/>
        </w:rPr>
        <w:t>2.1 Previred y Nómina</w:t>
      </w:r>
    </w:p>
    <w:p>
      <w:pPr>
        <w:spacing w:before="0" w:after="120" w:line="264" w:lineRule="auto"/>
      </w:pPr>
      <w:r>
        <w:rPr>
          <w:rFonts w:ascii="Calibri" w:hAnsi="Calibri"/>
          <w:color w:val="1B2521"/>
        </w:rPr>
        <w:t>Se consolidó un módulo común de Previred y adaptadores para los motores de Nómina presentes en los distintos ambientes, evitando parches directos sobre código compartido de terceros.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Campo 13 calculado desde días de asistencia efectiva, excluyendo ausencias y licencias.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Campo 93 derivado del horario: jornada completa o parcial; migración inicial para horarios de hasta 30 horas.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Campo 105 obtenido desde la cuenta analítica o centro de costo del contrato, limitado a 20 caracteres.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Correcciones aplicadas a los perfiles Previred v84 y v98.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Despliegue en LAB_TAREAS, STEPS_DEMO y STEPS_DEMO_SYS; validación funcional con liquidación real de Demo-SyS.</w:t>
      </w:r>
    </w:p>
    <w:p>
      <w:pPr>
        <w:spacing w:before="0" w:after="120" w:line="264" w:lineRule="auto"/>
      </w:pPr>
      <w:r>
        <w:rPr>
          <w:rFonts w:ascii="Calibri" w:hAnsi="Calibri"/>
          <w:b/>
          <w:color w:val="1B2521"/>
        </w:rPr>
        <w:t>Validación:</w:t>
      </w:r>
      <w:r>
        <w:rPr>
          <w:rFonts w:ascii="Calibri" w:hAnsi="Calibri"/>
          <w:color w:val="1B2521"/>
        </w:rPr>
      </w:r>
    </w:p>
    <w:p>
      <w:pPr>
        <w:pStyle w:val="ListBullet2"/>
        <w:spacing w:after="100" w:line="280" w:lineRule="auto"/>
        <w:ind w:left="1080" w:hanging="360"/>
      </w:pPr>
      <w:r>
        <w:rPr>
          <w:rFonts w:ascii="Calibri" w:hAnsi="Calibri"/>
          <w:color w:val="1B2521"/>
        </w:rPr>
        <w:t>21 casos del dataset ejecutados sin fallas ni errores.</w:t>
      </w:r>
    </w:p>
    <w:p>
      <w:pPr>
        <w:pStyle w:val="Heading2"/>
        <w:keepNext/>
      </w:pPr>
      <w:r>
        <w:rPr>
          <w:rFonts w:ascii="Calibri" w:hAnsi="Calibri"/>
          <w:b/>
          <w:color w:val="0B6B5C"/>
        </w:rPr>
        <w:t>2.2 Contabilidad bimoneda</w:t>
      </w:r>
    </w:p>
    <w:p>
      <w:pPr>
        <w:spacing w:before="0" w:after="120" w:line="264" w:lineRule="auto"/>
      </w:pPr>
      <w:r>
        <w:rPr>
          <w:rFonts w:ascii="Calibri" w:hAnsi="Calibri"/>
          <w:color w:val="1B2521"/>
        </w:rPr>
        <w:t>La segunda moneda dejó de ser sólo una conversión visual del reporte: ahora forma parte de la transacción contable y queda registrada por apunte.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Moneda operacional configurable por empresa.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Fecha de tasa, dólar observado, tasa por apunte y débito/crédito/saldo operacional persistidos.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Apunte operacional de diferencia de cambio cuando tasas distintas por línea descuadran el libro auxiliar, sin alterar el balance en la moneda principal.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Pagos con visualización y conversión en ambos sentidos.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Balance General y Estado de Resultados con columnas operacionales cuando el handler del reporte es compatible.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USD configurado como moneda operacional en Desarrollo y Demo; módulo instalado sin configuración global en Demo-SyS por su estructura multiempresa.</w:t>
      </w:r>
    </w:p>
    <w:p>
      <w:pPr>
        <w:spacing w:before="0" w:after="120" w:line="264" w:lineRule="auto"/>
      </w:pPr>
      <w:r>
        <w:rPr>
          <w:rFonts w:ascii="Calibri" w:hAnsi="Calibri"/>
          <w:b/>
          <w:color w:val="1B2521"/>
        </w:rPr>
        <w:t>Validación:</w:t>
      </w:r>
      <w:r>
        <w:rPr>
          <w:rFonts w:ascii="Calibri" w:hAnsi="Calibri"/>
          <w:color w:val="1B2521"/>
        </w:rPr>
      </w:r>
    </w:p>
    <w:p>
      <w:pPr>
        <w:pStyle w:val="ListBullet2"/>
        <w:spacing w:after="100" w:line="280" w:lineRule="auto"/>
        <w:ind w:left="1080" w:hanging="360"/>
      </w:pPr>
      <w:r>
        <w:rPr>
          <w:rFonts w:ascii="Calibri" w:hAnsi="Calibri"/>
          <w:color w:val="1B2521"/>
        </w:rPr>
        <w:t>Cinco flujos funcionales probados, sin fallas ni errores.</w:t>
      </w:r>
    </w:p>
    <w:p>
      <w:pPr>
        <w:pStyle w:val="Heading2"/>
        <w:keepNext/>
      </w:pPr>
      <w:r>
        <w:rPr>
          <w:rFonts w:ascii="Calibri" w:hAnsi="Calibri"/>
          <w:b/>
          <w:color w:val="0B6B5C"/>
        </w:rPr>
        <w:t>2.3 Maquinaria agrícola e integración BPA</w:t>
      </w:r>
    </w:p>
    <w:p>
      <w:pPr>
        <w:spacing w:before="0" w:after="120" w:line="264" w:lineRule="auto"/>
      </w:pPr>
      <w:r>
        <w:rPr>
          <w:rFonts w:ascii="Calibri" w:hAnsi="Calibri"/>
          <w:color w:val="1B2521"/>
        </w:rPr>
        <w:t>Se reformuló el módulo de Maquinaria para reemplazar el comportamiento heredado de Studio y acercarlo al estilo funcional de las aplicaciones agrícolas Steps.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Número de OT correlativo, único por empresa y generado por el servidor.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Nombre automático con número, fecha, orden de trabajo y folio BPA, conservando el nombre histórico en migraciones.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Catálogo canónico de ocho conceptos de maquinaria, homologado por significado y código.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Correcciones de costo por hora, consumos, provisiones, mantenciones y contabilización.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Diario y cuentas contables de Maquinaria homologados entre Desarrollo y Demo.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Vínculo nativo con órdenes BPA; migraciones idempotentes y archivo reversible de la vista Studio anterior.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Permisos, aislamiento multiempresa y conservación de 20 encabezados, 32 líneas y 27 conciliaciones existentes.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Logo moderno mantenido y eliminación completa de la imagen con iniciales JE.</w:t>
      </w:r>
    </w:p>
    <w:p>
      <w:pPr>
        <w:spacing w:before="0" w:after="120" w:line="264" w:lineRule="auto"/>
      </w:pPr>
      <w:r>
        <w:rPr>
          <w:rFonts w:ascii="Calibri" w:hAnsi="Calibri"/>
          <w:b/>
          <w:color w:val="1B2521"/>
        </w:rPr>
        <w:t>Versiones y validación:</w:t>
      </w:r>
      <w:r>
        <w:rPr>
          <w:rFonts w:ascii="Calibri" w:hAnsi="Calibri"/>
          <w:color w:val="1B2521"/>
        </w:rPr>
      </w:r>
    </w:p>
    <w:p>
      <w:pPr>
        <w:pStyle w:val="ListBullet2"/>
        <w:spacing w:after="100" w:line="280" w:lineRule="auto"/>
        <w:ind w:left="1080" w:hanging="360"/>
      </w:pPr>
      <w:r>
        <w:rPr>
          <w:rFonts w:ascii="Calibri" w:hAnsi="Calibri"/>
          <w:color w:val="1B2521"/>
        </w:rPr>
        <w:t>step_machinery 18.0.21.0.0 y step_bpa_irrigation 18.0.2.3.1 en Desarrollo y Demo.</w:t>
      </w:r>
    </w:p>
    <w:p>
      <w:pPr>
        <w:pStyle w:val="ListBullet2"/>
        <w:spacing w:after="100" w:line="280" w:lineRule="auto"/>
        <w:ind w:left="1080" w:hanging="360"/>
      </w:pPr>
      <w:r>
        <w:rPr>
          <w:rFonts w:ascii="Calibri" w:hAnsi="Calibri"/>
          <w:color w:val="1B2521"/>
        </w:rPr>
        <w:t>50 pruebas en base desechable y flujo controlado con rollback, sin fallas ni errores.</w:t>
      </w:r>
    </w:p>
    <w:p>
      <w:pPr>
        <w:pStyle w:val="Heading2"/>
        <w:keepNext/>
      </w:pPr>
      <w:r>
        <w:rPr>
          <w:rFonts w:ascii="Calibri" w:hAnsi="Calibri"/>
          <w:b/>
          <w:color w:val="0B6B5C"/>
        </w:rPr>
        <w:t>2.4 Consolidación de aplicaciones y desarrollos Studio</w:t>
      </w:r>
    </w:p>
    <w:p>
      <w:pPr>
        <w:spacing w:before="0" w:after="120" w:line="264" w:lineRule="auto"/>
      </w:pPr>
      <w:r>
        <w:rPr>
          <w:rFonts w:ascii="Calibri" w:hAnsi="Calibri"/>
          <w:color w:val="1B2521"/>
        </w:rPr>
        <w:t>Se auditó la convivencia entre prototipos Studio y módulos propios. El criterio fue conservar la información y las funciones únicas, moverlas al módulo definitivo y archivar únicamente lo redundante.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Fusión de BPA y Riego, QA-Inspecciones, Protección Laboral y Fletes.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Veinte menús útiles trasladados, entradas equivalentes archivadas y raíces Studio vacías ocultadas sin borrar datos.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Steps Tracker quedó con un solo acceso publicado por step_tracker_odoo.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Gestión y Costos borrador fue absorbido después de conservar sus maestros y accesos no replicados.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En Fletes se retiraron equivalentes exactos; informes, servicios, camiones y modalidad de frío se conservaron cuando no existía reemplazo nativo.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Resultado verificado: cero aplicaciones raíz duplicadas en Desarrollo y Demo.</w:t>
      </w:r>
    </w:p>
    <w:p>
      <w:pPr>
        <w:pStyle w:val="Heading2"/>
        <w:keepNext/>
      </w:pPr>
      <w:r>
        <w:rPr>
          <w:rFonts w:ascii="Calibri" w:hAnsi="Calibri"/>
          <w:b/>
          <w:color w:val="0B6B5C"/>
        </w:rPr>
        <w:t>2.5 Tesorería en Contabilidad</w:t>
      </w:r>
    </w:p>
    <w:p>
      <w:pPr>
        <w:spacing w:before="0" w:after="120" w:line="264" w:lineRule="auto"/>
      </w:pPr>
      <w:r>
        <w:rPr>
          <w:rFonts w:ascii="Calibri" w:hAnsi="Calibri"/>
          <w:color w:val="1B2521"/>
        </w:rPr>
        <w:t>Se implementó Tesorería como un núcleo común y dos puentes opcionales: integración agrícola para Fundo e integración con pagos por lotes. Demo-SyS usa el mismo núcleo sin instalar dependencias que no posee.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Maestro multiempresa de conceptos de flujo, con múltiples cuentas contables por concepto.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Flujo de caja de cinco semanas con Vencido, W1-W5 y Otros.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Fuentes automáticas: clientes, proveedores, notas de venta, órdenes de compra y proformas; además de ingresos y pagos manuales.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Saldo inicial desde diarios bancarios y de efectivo, con corte anterior al inicio del horizonte.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Dataset canónico compartido por hojas, resumen, indicadores y exportación XLSX.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Conversión a moneda del flujo y moneda auxiliar, incluyendo documentos en una tercera moneda.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Cuatro perfiles: consulta, operación, aprobación y configuración, con reglas multiempresa.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Migración idempotente de 12 conceptos y un flujo Studio; menús Studio archivados de forma reversible.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Corrección posterior del bloqueo ORM: un flujo aprobado ya no puede alterarse por vista, RPC ni importación; sólo aprueba el usuario designado.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color w:val="1B2521"/>
        </w:rPr>
        <w:t>Totales de moneda auxiliar derivados del detalle real, evitando conversiones agregadas inconsistentes.</w:t>
      </w:r>
    </w:p>
    <w:p>
      <w:pPr>
        <w:spacing w:before="0" w:after="120" w:line="264" w:lineRule="auto"/>
      </w:pPr>
      <w:r>
        <w:rPr>
          <w:rFonts w:ascii="Calibri" w:hAnsi="Calibri"/>
          <w:b/>
          <w:color w:val="1B2521"/>
        </w:rPr>
        <w:t>Estado final:</w:t>
      </w:r>
      <w:r>
        <w:rPr>
          <w:rFonts w:ascii="Calibri" w:hAnsi="Calibri"/>
          <w:color w:val="1B2521"/>
        </w:rPr>
      </w:r>
    </w:p>
    <w:p>
      <w:pPr>
        <w:pStyle w:val="ListBullet2"/>
        <w:spacing w:after="100" w:line="280" w:lineRule="auto"/>
        <w:ind w:left="1080" w:hanging="360"/>
      </w:pPr>
      <w:r>
        <w:rPr>
          <w:rFonts w:ascii="Calibri" w:hAnsi="Calibri"/>
          <w:color w:val="1B2521"/>
        </w:rPr>
        <w:t>step_account_treasury 18.0.1.0.1, con código idéntico en los tres ambientes.</w:t>
      </w:r>
    </w:p>
    <w:p>
      <w:pPr>
        <w:pStyle w:val="ListBullet2"/>
        <w:spacing w:after="100" w:line="280" w:lineRule="auto"/>
        <w:ind w:left="1080" w:hanging="360"/>
      </w:pPr>
      <w:r>
        <w:rPr>
          <w:rFonts w:ascii="Calibri" w:hAnsi="Calibri"/>
          <w:color w:val="1B2521"/>
        </w:rPr>
        <w:t>39 métodos de prueba ejecutados; Odoo contabilizó 51 verificaciones, con 0 fallas y 0 errores.</w:t>
      </w:r>
    </w:p>
    <w:p>
      <w:pPr>
        <w:pStyle w:val="ListBullet2"/>
        <w:spacing w:after="100" w:line="280" w:lineRule="auto"/>
        <w:ind w:left="1080" w:hanging="360"/>
      </w:pPr>
      <w:r>
        <w:rPr>
          <w:rFonts w:ascii="Calibri" w:hAnsi="Calibri"/>
          <w:color w:val="1B2521"/>
        </w:rPr>
        <w:t>Validación web de la lista de Flujos de Caja en Desarrollo, Demo y Demo-SyS; servicios activos y HTTP 200.</w:t>
      </w:r>
    </w:p>
    <w:p>
      <w:pPr>
        <w:pStyle w:val="Heading1"/>
        <w:keepNext/>
      </w:pPr>
      <w:r>
        <w:rPr>
          <w:rFonts w:ascii="Calibri" w:hAnsi="Calibri"/>
          <w:b/>
          <w:color w:val="0B6B5C"/>
        </w:rPr>
        <w:t>3. Seguridad, respaldo y homologación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/>
          <w:color w:val="1B2521"/>
        </w:rPr>
        <w:t>Se comprobó que no existieran actualizaciones de módulos, respaldos o despliegues concurrentes antes de intervenir.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/>
          <w:color w:val="1B2521"/>
        </w:rPr>
        <w:t>Se generaron dumps verificables de cada base y copias de los addons antes de las actualizaciones dirigidas.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/>
          <w:color w:val="1B2521"/>
        </w:rPr>
        <w:t>Los despliegues se realizaron de forma secuencial, reiniciando únicamente el servicio correspondiente.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/>
          <w:color w:val="1B2521"/>
        </w:rPr>
        <w:t>No se copiaron ni mezclaron bases de datos; Demo-SyS conservó sus datos y adaptaciones de SimpleDigital/SyS.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/>
          <w:color w:val="1B2521"/>
        </w:rPr>
        <w:t>No se ejecutaron pagos, correos, documentos tributarios, archivos bancarios ni otras acciones externas reales.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/>
          <w:color w:val="1B2521"/>
        </w:rPr>
        <w:t>No se realizó git push; el código permanece local y desplegado en los ambientes autorizados.</w:t>
      </w:r>
    </w:p>
    <w:p>
      <w:pPr>
        <w:pStyle w:val="Heading1"/>
        <w:keepNext/>
      </w:pPr>
      <w:r>
        <w:rPr>
          <w:rFonts w:ascii="Calibri" w:hAnsi="Calibri"/>
          <w:b/>
          <w:color w:val="0B6B5C"/>
        </w:rPr>
        <w:t>4. Pendientes</w:t>
      </w:r>
    </w:p>
    <w:p>
      <w:pPr>
        <w:spacing w:before="80" w:after="240" w:line="264" w:lineRule="auto"/>
        <w:ind w:left="259" w:right="173"/>
        <w:shd w:fill="E7F3EF"/>
        <w:pBdr>
          <w:left w:val="single" w:sz="24" w:space="8" w:color="0B6B5C"/>
        </w:pBdr>
      </w:pPr>
      <w:r>
        <w:rPr>
          <w:rFonts w:ascii="Calibri" w:hAnsi="Calibri"/>
          <w:b/>
          <w:color w:val="114B3A"/>
        </w:rPr>
        <w:t xml:space="preserve">Criterio. </w:t>
      </w:r>
      <w:r>
        <w:rPr>
          <w:rFonts w:ascii="Calibri" w:hAnsi="Calibri"/>
          <w:color w:val="1B2521"/>
        </w:rPr>
        <w:t>Los siguientes puntos no invalidan lo entregado. Corresponden a definiciones funcionales, deuda técnica previa o mejoras que requieren datos y especificaciones adicionales.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250"/>
        <w:gridCol w:w="3860"/>
        <w:gridCol w:w="2100"/>
      </w:tblGrid>
      <w:tr>
        <w:trPr>
          <w:tblHeader w:val="true"/>
        </w:trPr>
        <w:tc>
          <w:tcPr>
            <w:tcW w:type="dxa" w:w="1150"/>
            <w:shd w:fill="114B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250"/>
            <w:shd w:fill="114B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860"/>
            <w:shd w:fill="114B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Pendiente</w:t>
            </w:r>
          </w:p>
        </w:tc>
        <w:tc>
          <w:tcPr>
            <w:tcW w:type="dxa" w:w="2100"/>
            <w:shd w:fill="114B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Siguiente acción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B1C1C"/>
                <w:sz w:val="17"/>
              </w:rPr>
              <w:t>Alta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7"/>
              </w:rPr>
              <w:t>Previred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Contrastar el TXT final con el nuevo archivo oficial que entregará el cliente y obtener aceptación funcional.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Ejecutar matriz campo a campo y prueba con nómina representativa.</w:t>
            </w:r>
          </w:p>
        </w:tc>
      </w:tr>
      <w:tr>
        <w:tc>
          <w:tcPr>
            <w:tcW w:type="dxa" w:w="115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B1C1C"/>
                <w:sz w:val="17"/>
              </w:rPr>
              <w:t>Alta</w:t>
            </w:r>
          </w:p>
        </w:tc>
        <w:tc>
          <w:tcPr>
            <w:tcW w:type="dxa" w:w="225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7"/>
              </w:rPr>
              <w:t>BPA</w:t>
            </w:r>
          </w:p>
        </w:tc>
        <w:tc>
          <w:tcPr>
            <w:tcW w:type="dxa" w:w="386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Evitar división por cero cuando Capacidad lts aplicadora sea 0 y revisar el consumo por hora obligatorio heredado de Studio.</w:t>
            </w:r>
          </w:p>
        </w:tc>
        <w:tc>
          <w:tcPr>
            <w:tcW w:type="dxa" w:w="210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Definir regla funcional y migrar campos a modelo nativo.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B1C1C"/>
                <w:sz w:val="17"/>
              </w:rPr>
              <w:t>Alta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7"/>
              </w:rPr>
              <w:t>Infraestructura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steps_api figura instalado en Desarrollo y Demo, pero su código no existe en los addons_path.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Recuperar el addon o desinstalar limpiamente tras respaldo y auditoría.</w:t>
            </w:r>
          </w:p>
        </w:tc>
      </w:tr>
      <w:tr>
        <w:tc>
          <w:tcPr>
            <w:tcW w:type="dxa" w:w="115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56A00"/>
                <w:sz w:val="17"/>
              </w:rPr>
              <w:t>Media</w:t>
            </w:r>
          </w:p>
        </w:tc>
        <w:tc>
          <w:tcPr>
            <w:tcW w:type="dxa" w:w="225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7"/>
              </w:rPr>
              <w:t>Maquinaria</w:t>
            </w:r>
          </w:p>
        </w:tc>
        <w:tc>
          <w:tcPr>
            <w:tcW w:type="dxa" w:w="386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El diario CDMaq mantiene una lista cerrada de cuentas permitidas.</w:t>
            </w:r>
          </w:p>
        </w:tc>
        <w:tc>
          <w:tcPr>
            <w:tcW w:type="dxa" w:w="210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Decidir entre lista abierta o validación dinámica por conceptos.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56A00"/>
                <w:sz w:val="17"/>
              </w:rPr>
              <w:t>Media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7"/>
              </w:rPr>
              <w:t>Tesorería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Falta definir y construir el archivo bancario de pagos por lotes.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Solicitar formato por banco y diseñar adaptadores versionados.</w:t>
            </w:r>
          </w:p>
        </w:tc>
      </w:tr>
      <w:tr>
        <w:tc>
          <w:tcPr>
            <w:tcW w:type="dxa" w:w="115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56A00"/>
                <w:sz w:val="17"/>
              </w:rPr>
              <w:t>Media</w:t>
            </w:r>
          </w:p>
        </w:tc>
        <w:tc>
          <w:tcPr>
            <w:tcW w:type="dxa" w:w="225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7"/>
              </w:rPr>
              <w:t>Tesorería</w:t>
            </w:r>
          </w:p>
        </w:tc>
        <w:tc>
          <w:tcPr>
            <w:tcW w:type="dxa" w:w="386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No existe aún dashboard inicial OWL ni exportación PDF.</w:t>
            </w:r>
          </w:p>
        </w:tc>
        <w:tc>
          <w:tcPr>
            <w:tcW w:type="dxa" w:w="210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Diseñar tarjetas, gráfico acumulado y reporte PDF desde el dataset canónico.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56A00"/>
                <w:sz w:val="17"/>
              </w:rPr>
              <w:t>Media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7"/>
              </w:rPr>
              <w:t>Tesorería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Falta prueba de carga con volumen real y validación visual con usuario restringido.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Crear dataset de estrés y ejecutar pruebas por perfil.</w:t>
            </w:r>
          </w:p>
        </w:tc>
      </w:tr>
      <w:tr>
        <w:tc>
          <w:tcPr>
            <w:tcW w:type="dxa" w:w="115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56A00"/>
                <w:sz w:val="17"/>
              </w:rPr>
              <w:t>Media</w:t>
            </w:r>
          </w:p>
        </w:tc>
        <w:tc>
          <w:tcPr>
            <w:tcW w:type="dxa" w:w="225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7"/>
              </w:rPr>
              <w:t>Bimoneda</w:t>
            </w:r>
          </w:p>
        </w:tc>
        <w:tc>
          <w:tcPr>
            <w:tcW w:type="dxa" w:w="386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Demo-SyS no tiene moneda operacional definida por compañía y los datos históricos no fueron convertidos.</w:t>
            </w:r>
          </w:p>
        </w:tc>
        <w:tc>
          <w:tcPr>
            <w:tcW w:type="dxa" w:w="210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Configurar empresa por empresa y aprobar una migración histórica si corresponde.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A56A00"/>
                <w:sz w:val="17"/>
              </w:rPr>
              <w:t>Media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7"/>
              </w:rPr>
              <w:t>Tracker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Los modelos step.tracker.* aún existen tanto en step_hr como en step_tracker_odoo.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Separar modelos y migrar referencias en una refactorización controlada.</w:t>
            </w:r>
          </w:p>
        </w:tc>
      </w:tr>
      <w:tr>
        <w:tc>
          <w:tcPr>
            <w:tcW w:type="dxa" w:w="115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5F6B66"/>
                <w:sz w:val="17"/>
              </w:rPr>
              <w:t>Baja</w:t>
            </w:r>
          </w:p>
        </w:tc>
        <w:tc>
          <w:tcPr>
            <w:tcW w:type="dxa" w:w="225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7"/>
              </w:rPr>
              <w:t>Fletes/Studio</w:t>
            </w:r>
          </w:p>
        </w:tc>
        <w:tc>
          <w:tcPr>
            <w:tcW w:type="dxa" w:w="386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Persisten funciones exclusivas de Studio sin equivalente nativo, conservadas para no perder capacidad.</w:t>
            </w:r>
          </w:p>
        </w:tc>
        <w:tc>
          <w:tcPr>
            <w:tcW w:type="dxa" w:w="210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Reimplementar informes y maestros faltantes antes de archivar el legado.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5F6B66"/>
                <w:sz w:val="17"/>
              </w:rPr>
              <w:t>Baja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7"/>
              </w:rPr>
              <w:t>Ambientes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Maquinaria no está instalada en Demo-SyS y steps_qa conserva una versión anterior.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Definir si esos ambientes deben recibir el stack agrícola y homologarlos.</w:t>
            </w:r>
          </w:p>
        </w:tc>
      </w:tr>
      <w:tr>
        <w:tc>
          <w:tcPr>
            <w:tcW w:type="dxa" w:w="115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5F6B66"/>
                <w:sz w:val="17"/>
              </w:rPr>
              <w:t>Baja</w:t>
            </w:r>
          </w:p>
        </w:tc>
        <w:tc>
          <w:tcPr>
            <w:tcW w:type="dxa" w:w="225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B2521"/>
                <w:sz w:val="17"/>
              </w:rPr>
              <w:t>Repositorios</w:t>
            </w:r>
          </w:p>
        </w:tc>
        <w:tc>
          <w:tcPr>
            <w:tcW w:type="dxa" w:w="386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Los releases aún no fueron publicados en Git por instrucción operativa.</w:t>
            </w:r>
          </w:p>
        </w:tc>
        <w:tc>
          <w:tcPr>
            <w:tcW w:type="dxa" w:w="2100"/>
            <w:shd w:fill="F2F4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B2521"/>
                <w:sz w:val="17"/>
              </w:rPr>
              <w:t>Consolidar commits y publicar sólo cuando se autorice.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0B6B5C"/>
        </w:rPr>
        <w:t>5. Próximos pasos recomendados</w:t>
      </w:r>
    </w:p>
    <w:p>
      <w:pPr>
        <w:pStyle w:val="ListNumber2"/>
        <w:spacing w:after="120" w:line="280" w:lineRule="auto"/>
        <w:ind w:left="720" w:hanging="360"/>
      </w:pPr>
      <w:r>
        <w:rPr>
          <w:rFonts w:ascii="Calibri" w:hAnsi="Calibri"/>
          <w:color w:val="1B2521"/>
        </w:rPr>
        <w:t>Cerrar la validación Previred apenas llegue el archivo oficial del cliente.</w:t>
      </w:r>
    </w:p>
    <w:p>
      <w:pPr>
        <w:pStyle w:val="ListNumber2"/>
        <w:spacing w:after="120" w:line="280" w:lineRule="auto"/>
        <w:ind w:left="720" w:hanging="360"/>
      </w:pPr>
      <w:r>
        <w:rPr>
          <w:rFonts w:ascii="Calibri" w:hAnsi="Calibri"/>
          <w:color w:val="1B2521"/>
        </w:rPr>
        <w:t>Resolver primero la deuda BPA que impide crear OT cuando la capacidad está en cero.</w:t>
      </w:r>
    </w:p>
    <w:p>
      <w:pPr>
        <w:pStyle w:val="ListNumber2"/>
        <w:spacing w:after="120" w:line="280" w:lineRule="auto"/>
        <w:ind w:left="720" w:hanging="360"/>
      </w:pPr>
      <w:r>
        <w:rPr>
          <w:rFonts w:ascii="Calibri" w:hAnsi="Calibri"/>
          <w:color w:val="1B2521"/>
        </w:rPr>
        <w:t>Sanear steps_api antes de ampliar los despliegues, para eliminar una referencia instalada sin código.</w:t>
      </w:r>
    </w:p>
    <w:p>
      <w:pPr>
        <w:pStyle w:val="ListNumber2"/>
        <w:spacing w:after="120" w:line="280" w:lineRule="auto"/>
        <w:ind w:left="720" w:hanging="360"/>
      </w:pPr>
      <w:r>
        <w:rPr>
          <w:rFonts w:ascii="Calibri" w:hAnsi="Calibri"/>
          <w:color w:val="1B2521"/>
        </w:rPr>
        <w:t>Completar la experiencia comercial de Tesorería con dashboard y PDF, sin construir archivos bancarios hasta contar con especificación aprobada.</w:t>
      </w:r>
    </w:p>
    <w:p>
      <w:pPr>
        <w:pStyle w:val="ListNumber2"/>
        <w:spacing w:after="120" w:line="280" w:lineRule="auto"/>
        <w:ind w:left="720" w:hanging="360"/>
      </w:pPr>
      <w:r>
        <w:rPr>
          <w:rFonts w:ascii="Calibri" w:hAnsi="Calibri"/>
          <w:color w:val="1B2521"/>
        </w:rPr>
        <w:t>Preparar una ronda de homologación final que incluya perfiles restringidos, carga representativa y evidencia visual por ambiente.</w:t>
      </w:r>
    </w:p>
    <w:p>
      <w:pPr>
        <w:spacing w:before="80" w:after="240" w:line="264" w:lineRule="auto"/>
        <w:ind w:left="259" w:right="173"/>
        <w:shd w:fill="E7F3EF"/>
        <w:pBdr>
          <w:left w:val="single" w:sz="24" w:space="8" w:color="0B6B5C"/>
        </w:pBdr>
      </w:pPr>
      <w:r>
        <w:rPr>
          <w:rFonts w:ascii="Calibri" w:hAnsi="Calibri"/>
          <w:b/>
          <w:color w:val="114B3A"/>
        </w:rPr>
        <w:t xml:space="preserve">Conclusión. </w:t>
      </w:r>
      <w:r>
        <w:rPr>
          <w:rFonts w:ascii="Calibri" w:hAnsi="Calibri"/>
          <w:color w:val="1B2521"/>
        </w:rPr>
        <w:t>El avance de estas dos jornadas dejó módulos más cercanos a producto: transacciones persistentes, migraciones idempotentes, permisos, trazabilidad, integración entre aplicaciones y un release común por ambiente. Los pendientes están identificados y pueden abordarse sin rehacer lo ya construido.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Calibri" w:hAnsi="Calibri"/>
        <w:color w:val="5F6B66"/>
        <w:sz w:val="17"/>
      </w:rPr>
      <w:t>Steps Consulting  |  Resumen de implementaciones  |  28-29 agosto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B25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6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6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14B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 implementaciones Odoo - 28 y 29 de agosto de 2026</dc:title>
  <dc:subject>Avance técnico y funcional de módulos Steps</dc:subject>
  <dc:creator>Steps Consulting</dc:creator>
  <cp:keywords>Odoo, Steps, Previred, Maquinaria, BPA, Tesorería, Bimoneda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