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3C9BDD"/>
          <w:spacing w:val="30"/>
          <w:sz w:val="17"/>
          <w:szCs w:val="17"/>
        </w:rPr>
        <w:t xml:space="preserve">STEPS APP  ·  INFORME DE ENTREGA</w:t>
      </w:r>
    </w:p>
    <w:p>
      <w:pPr>
        <w:spacing w:after="60"/>
      </w:pPr>
      <w:r>
        <w:rPr>
          <w:b/>
          <w:bCs/>
          <w:color w:val="1F3A5F"/>
          <w:sz w:val="44"/>
          <w:szCs w:val="44"/>
        </w:rPr>
        <w:t xml:space="preserve">Módulo Maquinaria — Correcciones 2</w:t>
      </w:r>
    </w:p>
    <w:p>
      <w:pPr>
        <w:pBdr>
          <w:bottom w:val="single" w:color="3C9BDD" w:sz="12" w:space="8"/>
        </w:pBdr>
        <w:spacing w:after="240"/>
      </w:pPr>
      <w:r>
        <w:rPr>
          <w:color w:val="5A6570"/>
          <w:sz w:val="24"/>
          <w:szCs w:val="24"/>
        </w:rPr>
        <w:t xml:space="preserve">Distribución analítica del comprobante contable de horas máquina</w:t>
      </w:r>
    </w:p>
    <w:tbl>
      <w:tblPr>
        <w:tblW w:type="dxa" w:w="9360"/>
        <w:tblBorders>
          <w:top w:val="single" w:color="C8D2DC" w:sz="4"/>
          <w:left w:val="single" w:color="C8D2DC" w:sz="4"/>
          <w:bottom w:val="single" w:color="C8D2DC" w:sz="4"/>
          <w:right w:val="single" w:color="C8D2DC" w:sz="4"/>
          <w:insideH w:val="single" w:color="DCE4EC" w:sz="4"/>
          <w:insideV w:val="single" w:color="DCE4EC" w:sz="4"/>
        </w:tblBorders>
      </w:tblPr>
      <w:tblGrid>
        <w:gridCol w:w="1900"/>
        <w:gridCol w:w="2600"/>
        <w:gridCol w:w="2360"/>
        <w:gridCol w:w="2500"/>
      </w:tblGrid>
      <w:tr>
        <w:trPr>
          <w:cantSplit/>
          <w:tblHeader/>
        </w:trPr>
        <w:tc>
          <w:tcPr>
            <w:tcW w:type="dxa" w:w="1900"/>
            <w:shd w:fill="EAF3FB" w:val="clear"/>
            <w:tcMar>
              <w:top w:type="dxa" w:w="80"/>
              <w:left w:type="dxa" w:w="110"/>
              <w:bottom w:type="dxa" w:w="80"/>
              <w:right w:type="dxa" w:w="110"/>
            </w:tcMar>
          </w:tcPr>
          <w:p>
            <w:pPr>
              <w:spacing w:after="0" w:line="260"/>
            </w:pPr>
            <w:r>
              <w:rPr>
                <w:b/>
                <w:bCs/>
                <w:color w:val="1F3A5F"/>
                <w:sz w:val="19"/>
                <w:szCs w:val="19"/>
              </w:rPr>
              <w:t xml:space="preserve">Fecha</w:t>
            </w:r>
          </w:p>
        </w:tc>
        <w:tc>
          <w:tcPr>
            <w:tcW w:type="dxa" w:w="2600"/>
            <w:shd w:fill="EAF3FB" w:val="clear"/>
            <w:tcMar>
              <w:top w:type="dxa" w:w="80"/>
              <w:left w:type="dxa" w:w="110"/>
              <w:bottom w:type="dxa" w:w="80"/>
              <w:right w:type="dxa" w:w="110"/>
            </w:tcMar>
          </w:tcPr>
          <w:p>
            <w:pPr>
              <w:spacing w:after="0" w:line="260"/>
            </w:pPr>
            <w:r>
              <w:rPr>
                <w:b/>
                <w:bCs/>
                <w:color w:val="1F3A5F"/>
                <w:sz w:val="19"/>
                <w:szCs w:val="19"/>
              </w:rPr>
              <w:t xml:space="preserve">Versión del módulo</w:t>
            </w:r>
          </w:p>
        </w:tc>
        <w:tc>
          <w:tcPr>
            <w:tcW w:type="dxa" w:w="2360"/>
            <w:shd w:fill="EAF3FB" w:val="clear"/>
            <w:tcMar>
              <w:top w:type="dxa" w:w="80"/>
              <w:left w:type="dxa" w:w="110"/>
              <w:bottom w:type="dxa" w:w="80"/>
              <w:right w:type="dxa" w:w="110"/>
            </w:tcMar>
          </w:tcPr>
          <w:p>
            <w:pPr>
              <w:spacing w:after="0" w:line="260"/>
            </w:pPr>
            <w:r>
              <w:rPr>
                <w:b/>
                <w:bCs/>
                <w:color w:val="1F3A5F"/>
                <w:sz w:val="19"/>
                <w:szCs w:val="19"/>
              </w:rPr>
              <w:t xml:space="preserve">Ambientes</w:t>
            </w:r>
          </w:p>
        </w:tc>
        <w:tc>
          <w:tcPr>
            <w:tcW w:type="dxa" w:w="2500"/>
            <w:shd w:fill="EAF3FB" w:val="clear"/>
            <w:tcMar>
              <w:top w:type="dxa" w:w="80"/>
              <w:left w:type="dxa" w:w="110"/>
              <w:bottom w:type="dxa" w:w="80"/>
              <w:right w:type="dxa" w:w="110"/>
            </w:tcMar>
          </w:tcPr>
          <w:p>
            <w:pPr>
              <w:spacing w:after="0" w:line="260"/>
            </w:pPr>
            <w:r>
              <w:rPr>
                <w:b/>
                <w:bCs/>
                <w:color w:val="1F3A5F"/>
                <w:sz w:val="19"/>
                <w:szCs w:val="19"/>
              </w:rPr>
              <w:t xml:space="preserve">Estado</w:t>
            </w:r>
          </w:p>
        </w:tc>
      </w:tr>
      <w:tr>
        <w:trPr>
          <w:cantSplit/>
        </w:trPr>
        <w:tc>
          <w:tcPr>
            <w:tcW w:type="dxa" w:w="1900"/>
            <w:tcMar>
              <w:top w:type="dxa" w:w="80"/>
              <w:left w:type="dxa" w:w="110"/>
              <w:bottom w:type="dxa" w:w="80"/>
              <w:right w:type="dxa" w:w="110"/>
            </w:tcMar>
          </w:tcPr>
          <w:p>
            <w:pPr>
              <w:spacing w:after="0" w:line="260"/>
            </w:pPr>
            <w:r>
              <w:rPr>
                <w:sz w:val="19"/>
                <w:szCs w:val="19"/>
              </w:rPr>
              <w:t xml:space="preserve">29 de agosto de 2026</w:t>
            </w:r>
          </w:p>
        </w:tc>
        <w:tc>
          <w:tcPr>
            <w:tcW w:type="dxa" w:w="2600"/>
            <w:tcMar>
              <w:top w:type="dxa" w:w="80"/>
              <w:left w:type="dxa" w:w="110"/>
              <w:bottom w:type="dxa" w:w="80"/>
              <w:right w:type="dxa" w:w="110"/>
            </w:tcMar>
          </w:tcPr>
          <w:p>
            <w:pPr>
              <w:spacing w:after="0" w:line="260"/>
            </w:pPr>
            <w:r>
              <w:rPr>
                <w:sz w:val="19"/>
                <w:szCs w:val="19"/>
              </w:rPr>
              <w:t xml:space="preserve">step_machinery 18.0.22.0.0</w:t>
            </w:r>
          </w:p>
        </w:tc>
        <w:tc>
          <w:tcPr>
            <w:tcW w:type="dxa" w:w="2360"/>
            <w:tcMar>
              <w:top w:type="dxa" w:w="80"/>
              <w:left w:type="dxa" w:w="110"/>
              <w:bottom w:type="dxa" w:w="80"/>
              <w:right w:type="dxa" w:w="110"/>
            </w:tcMar>
          </w:tcPr>
          <w:p>
            <w:pPr>
              <w:spacing w:after="0" w:line="260"/>
            </w:pPr>
            <w:r>
              <w:rPr>
                <w:sz w:val="19"/>
                <w:szCs w:val="19"/>
              </w:rPr>
              <w:t xml:space="preserve">Demo y Desarrollo</w:t>
            </w:r>
          </w:p>
        </w:tc>
        <w:tc>
          <w:tcPr>
            <w:tcW w:type="dxa" w:w="2500"/>
            <w:tcMar>
              <w:top w:type="dxa" w:w="80"/>
              <w:left w:type="dxa" w:w="110"/>
              <w:bottom w:type="dxa" w:w="80"/>
              <w:right w:type="dxa" w:w="110"/>
            </w:tcMar>
          </w:tcPr>
          <w:p>
            <w:pPr>
              <w:spacing w:after="0" w:line="260"/>
            </w:pPr>
            <w:r>
              <w:rPr>
                <w:sz w:val="19"/>
                <w:szCs w:val="19"/>
              </w:rPr>
              <w:t xml:space="preserve">Desplegado y verificado</w:t>
            </w:r>
          </w:p>
        </w:tc>
      </w:tr>
    </w:tbl>
    <w:p>
      <w:pPr>
        <w:spacing w:after="240"/>
      </w:pPr>
    </w:p>
    <w:tbl>
      <w:tblPr>
        <w:tblW w:type="dxa" w:w="9360"/>
        <w:tblBorders>
          <w:top w:val="single" w:color="3C9BDD" w:sz="4"/>
          <w:left w:val="single" w:color="3C9BDD" w:sz="18"/>
          <w:bottom w:val="single" w:color="3C9BDD" w:sz="4"/>
          <w:right w:val="single" w:color="3C9BDD" w:sz="4"/>
          <w:insideH w:val="none"/>
          <w:insideV w:val="none"/>
        </w:tblBorders>
      </w:tblPr>
      <w:tblGrid>
        <w:gridCol w:w="9360"/>
      </w:tblGrid>
      <w:tr>
        <w:tc>
          <w:tcPr>
            <w:tcW w:type="dxa" w:w="9360"/>
            <w:shd w:fill="EAF3FB" w:val="clear"/>
            <w:tcMar>
              <w:top w:type="dxa" w:w="140"/>
              <w:left w:type="dxa" w:w="180"/>
              <w:bottom w:type="dxa" w:w="140"/>
              <w:right w:type="dxa" w:w="180"/>
            </w:tcMar>
          </w:tcPr>
          <w:p>
            <w:pPr>
              <w:spacing w:after="60"/>
            </w:pPr>
            <w:r>
              <w:rPr>
                <w:b/>
                <w:bCs/>
                <w:color w:val="1F3A5F"/>
                <w:sz w:val="20"/>
                <w:szCs w:val="20"/>
              </w:rPr>
              <w:t xml:space="preserve">Para qué sirve este documento</w:t>
            </w:r>
          </w:p>
          <w:p>
            <w:pPr>
              <w:spacing w:after="0" w:line="276"/>
            </w:pPr>
            <w:r>
              <w:rPr>
                <w:sz w:val="20"/>
                <w:szCs w:val="20"/>
              </w:rPr>
              <w:t xml:space="preserve">La primera mitad cuenta qué se corrigió y cómo comprobarlo usted mismo en pantalla. La segunda mitad plantea cuatro decisiones que no podemos tomar por usted, porque son de su contabilidad y no del sistema. Cada una explica el porqué, qué pasa según lo que elija y qué necesitamos que nos responda. Al final hay una plantilla corta para contestar.</w:t>
            </w:r>
          </w:p>
        </w:tc>
      </w:tr>
    </w:tbl>
    <w:p>
      <w:pPr>
        <w:spacing w:after="200"/>
      </w:pPr>
    </w:p>
    <w:p>
      <w:pPr>
        <w:pStyle w:val="Heading1"/>
        <w:pBdr>
          <w:bottom w:val="single" w:color="3C9BDD" w:sz="8" w:space="6"/>
        </w:pBdr>
        <w:spacing w:after="180" w:before="360"/>
      </w:pPr>
      <w:r>
        <w:rPr>
          <w:b/>
          <w:bCs/>
          <w:color w:val="1F3A5F"/>
          <w:sz w:val="30"/>
          <w:szCs w:val="30"/>
        </w:rPr>
        <w:t xml:space="preserve">1. En una frase</w:t>
      </w:r>
    </w:p>
    <w:p>
      <w:pPr>
        <w:spacing w:after="140" w:line="276"/>
      </w:pPr>
      <w:r>
        <w:rPr>
          <w:sz w:val="21"/>
          <w:szCs w:val="21"/>
        </w:rPr>
        <w:t xml:space="preserve">El comprobante contable de las horas máquina ahora reparte el gasto por los tres planes analíticos de la empresa —</w:t>
      </w:r>
      <w:r>
        <w:rPr>
          <w:b/>
          <w:bCs/>
          <w:sz w:val="21"/>
          <w:szCs w:val="21"/>
        </w:rPr>
        <w:t xml:space="preserve">Temporada</w:t>
      </w:r>
      <w:r>
        <w:rPr>
          <w:sz w:val="21"/>
          <w:szCs w:val="21"/>
        </w:rPr>
        <w:t xml:space="preserve">, </w:t>
      </w:r>
      <w:r>
        <w:rPr>
          <w:b/>
          <w:bCs/>
          <w:sz w:val="21"/>
          <w:szCs w:val="21"/>
        </w:rPr>
        <w:t xml:space="preserve">Centro de costos</w:t>
      </w:r>
      <w:r>
        <w:rPr>
          <w:sz w:val="21"/>
          <w:szCs w:val="21"/>
        </w:rPr>
        <w:t xml:space="preserve"> y </w:t>
      </w:r>
      <w:r>
        <w:rPr>
          <w:b/>
          <w:bCs/>
          <w:sz w:val="21"/>
          <w:szCs w:val="21"/>
        </w:rPr>
        <w:t xml:space="preserve">Actividad</w:t>
      </w:r>
      <w:r>
        <w:rPr>
          <w:sz w:val="21"/>
          <w:szCs w:val="21"/>
        </w:rPr>
        <w:t xml:space="preserve">— y la cuenta de pasivo dejó de llevar analítica.</w:t>
      </w:r>
    </w:p>
    <w:p>
      <w:pPr>
        <w:pStyle w:val="Heading1"/>
        <w:pBdr>
          <w:bottom w:val="single" w:color="3C9BDD" w:sz="8" w:space="6"/>
        </w:pBdr>
        <w:spacing w:after="180" w:before="360"/>
      </w:pPr>
      <w:r>
        <w:rPr>
          <w:b/>
          <w:bCs/>
          <w:color w:val="1F3A5F"/>
          <w:sz w:val="30"/>
          <w:szCs w:val="30"/>
        </w:rPr>
        <w:t xml:space="preserve">2. Lo que pedía el documento de correcciones</w:t>
      </w:r>
    </w:p>
    <w:p>
      <w:pPr>
        <w:spacing w:after="140" w:line="276"/>
      </w:pPr>
      <w:r>
        <w:rPr>
          <w:sz w:val="21"/>
          <w:szCs w:val="21"/>
        </w:rPr>
        <w:t xml:space="preserve">Su documento planteaba cuatro puntos sobre la contabilización de las horas máquina:</w:t>
      </w:r>
    </w:p>
    <w:p>
      <w:pPr>
        <w:pStyle w:val="ListParagraph"/>
        <w:numPr>
          <w:ilvl w:val="0"/>
          <w:numId w:val="2"/>
        </w:numPr>
        <w:spacing w:after="100" w:line="276"/>
      </w:pPr>
      <w:r>
        <w:rPr>
          <w:sz w:val="21"/>
          <w:szCs w:val="21"/>
        </w:rPr>
        <w:t xml:space="preserve">La Temporada debía tomarse del encabezado del formulario (en el ejemplo, T26-27).</w:t>
      </w:r>
    </w:p>
    <w:p>
      <w:pPr>
        <w:pStyle w:val="ListParagraph"/>
        <w:numPr>
          <w:ilvl w:val="0"/>
          <w:numId w:val="2"/>
        </w:numPr>
        <w:spacing w:after="100" w:line="276"/>
      </w:pPr>
      <w:r>
        <w:rPr>
          <w:sz w:val="21"/>
          <w:szCs w:val="21"/>
        </w:rPr>
        <w:t xml:space="preserve">El Centro de costos ya estaba correcto.</w:t>
      </w:r>
    </w:p>
    <w:p>
      <w:pPr>
        <w:pStyle w:val="ListParagraph"/>
        <w:numPr>
          <w:ilvl w:val="0"/>
          <w:numId w:val="2"/>
        </w:numPr>
        <w:spacing w:after="100" w:line="276"/>
      </w:pPr>
      <w:r>
        <w:rPr>
          <w:sz w:val="21"/>
          <w:szCs w:val="21"/>
        </w:rPr>
        <w:t xml:space="preserve">La Actividad debía tomarse de la línea de detalle, del campo «actividad» (en el ejemplo, Aplicaciones).</w:t>
      </w:r>
    </w:p>
    <w:p>
      <w:pPr>
        <w:pStyle w:val="ListParagraph"/>
        <w:numPr>
          <w:ilvl w:val="0"/>
          <w:numId w:val="2"/>
        </w:numPr>
        <w:spacing w:after="100" w:line="276"/>
      </w:pPr>
      <w:r>
        <w:rPr>
          <w:sz w:val="21"/>
          <w:szCs w:val="21"/>
        </w:rPr>
        <w:t xml:space="preserve">La cuenta de pasivo no debía llevar cuenta analítica; sólo las cuentas de gasto.</w:t>
      </w:r>
    </w:p>
    <w:p>
      <w:pPr>
        <w:spacing w:after="60"/>
      </w:pPr>
    </w:p>
    <w:p>
      <w:pPr>
        <w:spacing w:after="140" w:line="276"/>
      </w:pPr>
      <w:r>
        <w:rPr>
          <w:sz w:val="21"/>
          <w:szCs w:val="21"/>
        </w:rPr>
        <w:t xml:space="preserve">Los cuatro puntos están resueltos. Al revisarlo aparecieron además dos cosas que su documento no mencionaba y que también se corrigieron; van en la tabla siguiente.</w:t>
      </w:r>
    </w:p>
    <w:p>
      <w:pPr>
        <w:pStyle w:val="Heading1"/>
        <w:pBdr>
          <w:bottom w:val="single" w:color="3C9BDD" w:sz="8" w:space="6"/>
        </w:pBdr>
        <w:spacing w:after="180" w:before="360"/>
      </w:pPr>
      <w:r>
        <w:rPr>
          <w:b/>
          <w:bCs/>
          <w:color w:val="1F3A5F"/>
          <w:sz w:val="30"/>
          <w:szCs w:val="30"/>
        </w:rPr>
        <w:t xml:space="preserve">3. Qué estaba pasando y qué se hizo</w:t>
      </w:r>
    </w:p>
    <w:p>
      <w:pPr>
        <w:spacing w:after="140" w:line="276"/>
      </w:pPr>
      <w:r>
        <w:rPr>
          <w:sz w:val="21"/>
          <w:szCs w:val="21"/>
        </w:rPr>
        <w:t xml:space="preserve">Cada fila es un problema distinto. Las dos últimas no estaban en su documento: aparecieron al revisar los datos.</w:t>
      </w:r>
    </w:p>
    <w:p>
      <w:pPr>
        <w:spacing w:after="60"/>
      </w:pPr>
    </w:p>
    <w:tbl>
      <w:tblPr>
        <w:tblW w:type="dxa" w:w="9360"/>
        <w:tblBorders>
          <w:top w:val="single" w:color="C8D2DC" w:sz="4"/>
          <w:left w:val="single" w:color="C8D2DC" w:sz="4"/>
          <w:bottom w:val="single" w:color="C8D2DC" w:sz="4"/>
          <w:right w:val="single" w:color="C8D2DC" w:sz="4"/>
          <w:insideH w:val="single" w:color="DCE4EC" w:sz="4"/>
          <w:insideV w:val="single" w:color="DCE4EC" w:sz="4"/>
        </w:tblBorders>
      </w:tblPr>
      <w:tblGrid>
        <w:gridCol w:w="2500"/>
        <w:gridCol w:w="3600"/>
        <w:gridCol w:w="3260"/>
      </w:tblGrid>
      <w:tr>
        <w:trPr>
          <w:cantSplit/>
          <w:tblHeader/>
        </w:trPr>
        <w:tc>
          <w:tcPr>
            <w:tcW w:type="dxa" w:w="2500"/>
            <w:shd w:fill="EAF3FB" w:val="clear"/>
            <w:tcMar>
              <w:top w:type="dxa" w:w="80"/>
              <w:left w:type="dxa" w:w="110"/>
              <w:bottom w:type="dxa" w:w="80"/>
              <w:right w:type="dxa" w:w="110"/>
            </w:tcMar>
          </w:tcPr>
          <w:p>
            <w:pPr>
              <w:spacing w:after="0" w:line="260"/>
            </w:pPr>
            <w:r>
              <w:rPr>
                <w:b/>
                <w:bCs/>
                <w:color w:val="1F3A5F"/>
                <w:sz w:val="19"/>
                <w:szCs w:val="19"/>
              </w:rPr>
              <w:t xml:space="preserve">Lo que se veía</w:t>
            </w:r>
          </w:p>
        </w:tc>
        <w:tc>
          <w:tcPr>
            <w:tcW w:type="dxa" w:w="3600"/>
            <w:shd w:fill="EAF3FB" w:val="clear"/>
            <w:tcMar>
              <w:top w:type="dxa" w:w="80"/>
              <w:left w:type="dxa" w:w="110"/>
              <w:bottom w:type="dxa" w:w="80"/>
              <w:right w:type="dxa" w:w="110"/>
            </w:tcMar>
          </w:tcPr>
          <w:p>
            <w:pPr>
              <w:spacing w:after="0" w:line="260"/>
            </w:pPr>
            <w:r>
              <w:rPr>
                <w:b/>
                <w:bCs/>
                <w:color w:val="1F3A5F"/>
                <w:sz w:val="19"/>
                <w:szCs w:val="19"/>
              </w:rPr>
              <w:t xml:space="preserve">Por qué pasaba</w:t>
            </w:r>
          </w:p>
        </w:tc>
        <w:tc>
          <w:tcPr>
            <w:tcW w:type="dxa" w:w="3260"/>
            <w:shd w:fill="EAF3FB" w:val="clear"/>
            <w:tcMar>
              <w:top w:type="dxa" w:w="80"/>
              <w:left w:type="dxa" w:w="110"/>
              <w:bottom w:type="dxa" w:w="80"/>
              <w:right w:type="dxa" w:w="110"/>
            </w:tcMar>
          </w:tcPr>
          <w:p>
            <w:pPr>
              <w:spacing w:after="0" w:line="260"/>
            </w:pPr>
            <w:r>
              <w:rPr>
                <w:b/>
                <w:bCs/>
                <w:color w:val="1F3A5F"/>
                <w:sz w:val="19"/>
                <w:szCs w:val="19"/>
              </w:rPr>
              <w:t xml:space="preserve">Qué se hizo</w:t>
            </w:r>
          </w:p>
        </w:tc>
      </w:tr>
      <w:tr>
        <w:trPr>
          <w:cantSplit/>
        </w:trPr>
        <w:tc>
          <w:tcPr>
            <w:tcW w:type="dxa" w:w="2500"/>
            <w:tcMar>
              <w:top w:type="dxa" w:w="80"/>
              <w:left w:type="dxa" w:w="110"/>
              <w:bottom w:type="dxa" w:w="80"/>
              <w:right w:type="dxa" w:w="110"/>
            </w:tcMar>
          </w:tcPr>
          <w:p>
            <w:pPr>
              <w:spacing w:after="0" w:line="260"/>
            </w:pPr>
            <w:r>
              <w:rPr>
                <w:sz w:val="19"/>
                <w:szCs w:val="19"/>
              </w:rPr>
              <w:t xml:space="preserve">En el cargo aparecía «4 Exportaciones» en lugar de la actividad Aplicaciones.</w:t>
            </w:r>
          </w:p>
        </w:tc>
        <w:tc>
          <w:tcPr>
            <w:tcW w:type="dxa" w:w="3600"/>
            <w:tcMar>
              <w:top w:type="dxa" w:w="80"/>
              <w:left w:type="dxa" w:w="110"/>
              <w:bottom w:type="dxa" w:w="80"/>
              <w:right w:type="dxa" w:w="110"/>
            </w:tcMar>
          </w:tcPr>
          <w:p>
            <w:pPr>
              <w:spacing w:after="0" w:line="260"/>
            </w:pPr>
            <w:r>
              <w:rPr>
                <w:sz w:val="19"/>
                <w:szCs w:val="19"/>
              </w:rPr>
              <w:t xml:space="preserve">El sistema tomaba el número interno del maestro de Actividades y lo usaba como si fuera el número de una cuenta analítica. La actividad número 4 «Cosecha» terminaba apuntando a la cuenta analítica número 4, que resultó ser «Exportaciones». Pura coincidencia de numeración.</w:t>
            </w:r>
          </w:p>
        </w:tc>
        <w:tc>
          <w:tcPr>
            <w:tcW w:type="dxa" w:w="3260"/>
            <w:tcMar>
              <w:top w:type="dxa" w:w="80"/>
              <w:left w:type="dxa" w:w="110"/>
              <w:bottom w:type="dxa" w:w="80"/>
              <w:right w:type="dxa" w:w="110"/>
            </w:tcMar>
          </w:tcPr>
          <w:p>
            <w:pPr>
              <w:spacing w:after="0" w:line="260"/>
            </w:pPr>
            <w:r>
              <w:rPr>
                <w:sz w:val="19"/>
                <w:szCs w:val="19"/>
              </w:rPr>
              <w:t xml:space="preserve">Ahora se usa la cuenta analítica que tiene configurada cada actividad, no su número interno.</w:t>
            </w:r>
          </w:p>
        </w:tc>
      </w:tr>
      <w:tr>
        <w:trPr>
          <w:cantSplit/>
        </w:trPr>
        <w:tc>
          <w:tcPr>
            <w:tcW w:type="dxa" w:w="2500"/>
            <w:shd w:fill="F5F7F9" w:val="clear"/>
            <w:tcMar>
              <w:top w:type="dxa" w:w="80"/>
              <w:left w:type="dxa" w:w="110"/>
              <w:bottom w:type="dxa" w:w="80"/>
              <w:right w:type="dxa" w:w="110"/>
            </w:tcMar>
          </w:tcPr>
          <w:p>
            <w:pPr>
              <w:spacing w:after="0" w:line="260"/>
            </w:pPr>
            <w:r>
              <w:rPr>
                <w:sz w:val="19"/>
                <w:szCs w:val="19"/>
              </w:rPr>
              <w:t xml:space="preserve">La Temporada no aparecía en el comprobante.</w:t>
            </w:r>
          </w:p>
        </w:tc>
        <w:tc>
          <w:tcPr>
            <w:tcW w:type="dxa" w:w="3600"/>
            <w:shd w:fill="F5F7F9" w:val="clear"/>
            <w:tcMar>
              <w:top w:type="dxa" w:w="80"/>
              <w:left w:type="dxa" w:w="110"/>
              <w:bottom w:type="dxa" w:w="80"/>
              <w:right w:type="dxa" w:w="110"/>
            </w:tcMar>
          </w:tcPr>
          <w:p>
            <w:pPr>
              <w:spacing w:after="0" w:line="260"/>
            </w:pPr>
            <w:r>
              <w:rPr>
                <w:sz w:val="19"/>
                <w:szCs w:val="19"/>
              </w:rPr>
              <w:t xml:space="preserve">El sistema sí buscaba la temporada del encabezado, pero en Demo la temporada T26-27 no tenía cuenta analítica asignada, y esa cuenta ni siquiera existía en el plan Temporada.</w:t>
            </w:r>
          </w:p>
        </w:tc>
        <w:tc>
          <w:tcPr>
            <w:tcW w:type="dxa" w:w="3260"/>
            <w:shd w:fill="F5F7F9" w:val="clear"/>
            <w:tcMar>
              <w:top w:type="dxa" w:w="80"/>
              <w:left w:type="dxa" w:w="110"/>
              <w:bottom w:type="dxa" w:w="80"/>
              <w:right w:type="dxa" w:w="110"/>
            </w:tcMar>
          </w:tcPr>
          <w:p>
            <w:pPr>
              <w:spacing w:after="0" w:line="260"/>
            </w:pPr>
            <w:r>
              <w:rPr>
                <w:sz w:val="19"/>
                <w:szCs w:val="19"/>
              </w:rPr>
              <w:t xml:space="preserve">Se creó la cuenta analítica «T26-27» en el plan Temporada de Demo y se dejó enlazada a la temporada. En Desarrollo ya existía.</w:t>
            </w:r>
          </w:p>
        </w:tc>
      </w:tr>
      <w:tr>
        <w:trPr>
          <w:cantSplit/>
        </w:trPr>
        <w:tc>
          <w:tcPr>
            <w:tcW w:type="dxa" w:w="2500"/>
            <w:tcMar>
              <w:top w:type="dxa" w:w="80"/>
              <w:left w:type="dxa" w:w="110"/>
              <w:bottom w:type="dxa" w:w="80"/>
              <w:right w:type="dxa" w:w="110"/>
            </w:tcMar>
          </w:tcPr>
          <w:p>
            <w:pPr>
              <w:spacing w:after="0" w:line="260"/>
            </w:pPr>
            <w:r>
              <w:rPr>
                <w:sz w:val="19"/>
                <w:szCs w:val="19"/>
              </w:rPr>
              <w:t xml:space="preserve">El abono a la cuenta de pasivo 210233 llevaba una cuenta analítica (el centro de costos de la máquina).</w:t>
            </w:r>
          </w:p>
        </w:tc>
        <w:tc>
          <w:tcPr>
            <w:tcW w:type="dxa" w:w="3600"/>
            <w:tcMar>
              <w:top w:type="dxa" w:w="80"/>
              <w:left w:type="dxa" w:w="110"/>
              <w:bottom w:type="dxa" w:w="80"/>
              <w:right w:type="dxa" w:w="110"/>
            </w:tcMar>
          </w:tcPr>
          <w:p>
            <w:pPr>
              <w:spacing w:after="0" w:line="260"/>
            </w:pPr>
            <w:r>
              <w:rPr>
                <w:sz w:val="19"/>
                <w:szCs w:val="19"/>
              </w:rPr>
              <w:t xml:space="preserve">El sistema calculaba una distribución también para el abono.</w:t>
            </w:r>
          </w:p>
        </w:tc>
        <w:tc>
          <w:tcPr>
            <w:tcW w:type="dxa" w:w="3260"/>
            <w:tcMar>
              <w:top w:type="dxa" w:w="80"/>
              <w:left w:type="dxa" w:w="110"/>
              <w:bottom w:type="dxa" w:w="80"/>
              <w:right w:type="dxa" w:w="110"/>
            </w:tcMar>
          </w:tcPr>
          <w:p>
            <w:pPr>
              <w:spacing w:after="0" w:line="260"/>
            </w:pPr>
            <w:r>
              <w:rPr>
                <w:sz w:val="19"/>
                <w:szCs w:val="19"/>
              </w:rPr>
              <w:t xml:space="preserve">El abono va sin distribución analítica, tal como usted indicó.</w:t>
            </w:r>
          </w:p>
        </w:tc>
      </w:tr>
      <w:tr>
        <w:trPr>
          <w:cantSplit/>
        </w:trPr>
        <w:tc>
          <w:tcPr>
            <w:tcW w:type="dxa" w:w="2500"/>
            <w:shd w:fill="F5F7F9" w:val="clear"/>
            <w:tcMar>
              <w:top w:type="dxa" w:w="80"/>
              <w:left w:type="dxa" w:w="110"/>
              <w:bottom w:type="dxa" w:w="80"/>
              <w:right w:type="dxa" w:w="110"/>
            </w:tcMar>
          </w:tcPr>
          <w:p>
            <w:pPr>
              <w:spacing w:after="0" w:line="260"/>
            </w:pPr>
            <w:r>
              <w:rPr>
                <w:sz w:val="19"/>
                <w:szCs w:val="19"/>
              </w:rPr>
              <w:t xml:space="preserve">No se veía: mismo defecto en la pantalla de Costo real de maquinaria.</w:t>
            </w:r>
          </w:p>
        </w:tc>
        <w:tc>
          <w:tcPr>
            <w:tcW w:type="dxa" w:w="3600"/>
            <w:shd w:fill="F5F7F9" w:val="clear"/>
            <w:tcMar>
              <w:top w:type="dxa" w:w="80"/>
              <w:left w:type="dxa" w:w="110"/>
              <w:bottom w:type="dxa" w:w="80"/>
              <w:right w:type="dxa" w:w="110"/>
            </w:tcMar>
          </w:tcPr>
          <w:p>
            <w:pPr>
              <w:spacing w:after="0" w:line="260"/>
            </w:pPr>
            <w:r>
              <w:rPr>
                <w:sz w:val="19"/>
                <w:szCs w:val="19"/>
              </w:rPr>
              <w:t xml:space="preserve">Ese proceso, más antiguo, tenía exactamente el mismo error de tomar el número del maestro de Actividades.</w:t>
            </w:r>
          </w:p>
        </w:tc>
        <w:tc>
          <w:tcPr>
            <w:tcW w:type="dxa" w:w="3260"/>
            <w:shd w:fill="F5F7F9" w:val="clear"/>
            <w:tcMar>
              <w:top w:type="dxa" w:w="80"/>
              <w:left w:type="dxa" w:w="110"/>
              <w:bottom w:type="dxa" w:w="80"/>
              <w:right w:type="dxa" w:w="110"/>
            </w:tcMar>
          </w:tcPr>
          <w:p>
            <w:pPr>
              <w:spacing w:after="0" w:line="260"/>
            </w:pPr>
            <w:r>
              <w:rPr>
                <w:sz w:val="19"/>
                <w:szCs w:val="19"/>
              </w:rPr>
              <w:t xml:space="preserve">Se corrigió igual, y su abono también quedó sin analítica.</w:t>
            </w:r>
          </w:p>
        </w:tc>
      </w:tr>
      <w:tr>
        <w:trPr>
          <w:cantSplit/>
        </w:trPr>
        <w:tc>
          <w:tcPr>
            <w:tcW w:type="dxa" w:w="2500"/>
            <w:tcMar>
              <w:top w:type="dxa" w:w="80"/>
              <w:left w:type="dxa" w:w="110"/>
              <w:bottom w:type="dxa" w:w="80"/>
              <w:right w:type="dxa" w:w="110"/>
            </w:tcMar>
          </w:tcPr>
          <w:p>
            <w:pPr>
              <w:spacing w:after="0" w:line="260"/>
            </w:pPr>
            <w:r>
              <w:rPr>
                <w:sz w:val="19"/>
                <w:szCs w:val="19"/>
              </w:rPr>
              <w:t xml:space="preserve">No se veía: 26 líneas antiguas de Desarrollo tienen en «Centro de costos» una cuenta que no pertenece a ese plan (22 del plan Project y 4 del plan Temporada).</w:t>
            </w:r>
          </w:p>
        </w:tc>
        <w:tc>
          <w:tcPr>
            <w:tcW w:type="dxa" w:w="3600"/>
            <w:tcMar>
              <w:top w:type="dxa" w:w="80"/>
              <w:left w:type="dxa" w:w="110"/>
              <w:bottom w:type="dxa" w:w="80"/>
              <w:right w:type="dxa" w:w="110"/>
            </w:tcMar>
          </w:tcPr>
          <w:p>
            <w:pPr>
              <w:spacing w:after="0" w:line="260"/>
            </w:pPr>
            <w:r>
              <w:rPr>
                <w:sz w:val="19"/>
                <w:szCs w:val="19"/>
              </w:rPr>
              <w:t xml:space="preserve">Captura anterior, hecha cuando el campo todavía no estaba acotado a un solo plan. Odoo no admite dos cuentas del mismo plan en una misma distribución: una se pierde en silencio.</w:t>
            </w:r>
          </w:p>
        </w:tc>
        <w:tc>
          <w:tcPr>
            <w:tcW w:type="dxa" w:w="3260"/>
            <w:tcMar>
              <w:top w:type="dxa" w:w="80"/>
              <w:left w:type="dxa" w:w="110"/>
              <w:bottom w:type="dxa" w:w="80"/>
              <w:right w:type="dxa" w:w="110"/>
            </w:tcMar>
          </w:tcPr>
          <w:p>
            <w:pPr>
              <w:spacing w:after="0" w:line="260"/>
            </w:pPr>
            <w:r>
              <w:rPr>
                <w:sz w:val="19"/>
                <w:szCs w:val="19"/>
              </w:rPr>
              <w:t xml:space="preserve">Si eso ocurre, ahora gana la Temporada del encabezado y la cuenta repetida se descarta, en vez de perderse en silencio. Ver Decisión 3.</w:t>
            </w:r>
          </w:p>
        </w:tc>
      </w:tr>
    </w:tbl>
    <w:p>
      <w:pPr>
        <w:pStyle w:val="Heading1"/>
        <w:pBdr>
          <w:bottom w:val="single" w:color="3C9BDD" w:sz="8" w:space="6"/>
        </w:pBdr>
        <w:spacing w:after="180" w:before="360"/>
      </w:pPr>
      <w:r>
        <w:rPr>
          <w:b/>
          <w:bCs/>
          <w:color w:val="1F3A5F"/>
          <w:sz w:val="30"/>
          <w:szCs w:val="30"/>
        </w:rPr>
        <w:t xml:space="preserve">4. Cómo queda el comprobante</w:t>
      </w:r>
    </w:p>
    <w:p>
      <w:pPr>
        <w:spacing w:after="140" w:line="276"/>
      </w:pPr>
      <w:r>
        <w:rPr>
          <w:sz w:val="21"/>
          <w:szCs w:val="21"/>
        </w:rPr>
        <w:t xml:space="preserve">Tomando el mismo caso de su documento —temporada T26-27, centro de costos Arándanos Brigitta 2019, actividad Aplicaciones—:</w:t>
      </w:r>
    </w:p>
    <w:p>
      <w:pPr>
        <w:spacing w:after="60"/>
      </w:pPr>
    </w:p>
    <w:p>
      <w:pPr>
        <w:pStyle w:val="Heading3"/>
        <w:spacing w:after="90" w:before="180"/>
      </w:pPr>
      <w:r>
        <w:rPr>
          <w:b/>
          <w:bCs/>
          <w:color w:val="3C9BDD"/>
          <w:sz w:val="21"/>
          <w:szCs w:val="21"/>
        </w:rPr>
        <w:t xml:space="preserve">Antes</w:t>
      </w:r>
    </w:p>
    <w:p>
      <w:pPr>
        <w:shd w:fill="F5F7F9" w:val="clear"/>
        <w:spacing w:after="0" w:line="240"/>
        <w:ind w:left="260"/>
      </w:pPr>
      <w:r>
        <w:rPr>
          <w:rFonts w:ascii="Consolas" w:cs="Consolas" w:eastAsia="Consolas" w:hAnsi="Consolas"/>
          <w:color w:val="23303B"/>
          <w:sz w:val="17"/>
          <w:szCs w:val="17"/>
        </w:rPr>
        <w:t xml:space="preserve">  Cuenta   Descripción                     D / H     Distribución analítica</w:t>
      </w:r>
    </w:p>
    <w:p>
      <w:pPr>
        <w:shd w:fill="F5F7F9" w:val="clear"/>
        <w:spacing w:after="0" w:line="240"/>
        <w:ind w:left="260"/>
      </w:pPr>
      <w:r>
        <w:rPr>
          <w:rFonts w:ascii="Consolas" w:cs="Consolas" w:eastAsia="Consolas" w:hAnsi="Consolas"/>
          <w:color w:val="23303B"/>
          <w:sz w:val="17"/>
          <w:szCs w:val="17"/>
        </w:rPr>
        <w:t xml:space="preserve">  210233   Provisión costo maquinarias     Haber     Arándanos Crunch 2018</w:t>
      </w:r>
    </w:p>
    <w:p>
      <w:pPr>
        <w:shd w:fill="F5F7F9" w:val="clear"/>
        <w:spacing w:after="160" w:line="240"/>
        <w:ind w:left="260"/>
      </w:pPr>
      <w:r>
        <w:rPr>
          <w:rFonts w:ascii="Consolas" w:cs="Consolas" w:eastAsia="Consolas" w:hAnsi="Consolas"/>
          <w:color w:val="23303B"/>
          <w:sz w:val="17"/>
          <w:szCs w:val="17"/>
        </w:rPr>
        <w:t xml:space="preserve">  410161   Costo estándar maquinarias      Debe      Exportaciones + Arándanos Brigitta 2019</w:t>
      </w:r>
    </w:p>
    <w:p>
      <w:pPr>
        <w:spacing w:after="140" w:line="276"/>
      </w:pPr>
      <w:r>
        <w:rPr>
          <w:color w:val="9B2C2C"/>
          <w:sz w:val="20"/>
          <w:szCs w:val="20"/>
        </w:rPr>
        <w:t xml:space="preserve">Faltaba la Temporada, la Actividad estaba mal (aparecía «Exportaciones») y el pasivo llevaba analítica.</w:t>
      </w:r>
    </w:p>
    <w:p>
      <w:pPr>
        <w:pStyle w:val="Heading3"/>
        <w:spacing w:after="90" w:before="180"/>
      </w:pPr>
      <w:r>
        <w:rPr>
          <w:b/>
          <w:bCs/>
          <w:color w:val="3C9BDD"/>
          <w:sz w:val="21"/>
          <w:szCs w:val="21"/>
        </w:rPr>
        <w:t xml:space="preserve">Ahora</w:t>
      </w:r>
    </w:p>
    <w:p>
      <w:pPr>
        <w:shd w:fill="F5F7F9" w:val="clear"/>
        <w:spacing w:after="0" w:line="240"/>
        <w:ind w:left="260"/>
      </w:pPr>
      <w:r>
        <w:rPr>
          <w:rFonts w:ascii="Consolas" w:cs="Consolas" w:eastAsia="Consolas" w:hAnsi="Consolas"/>
          <w:color w:val="23303B"/>
          <w:sz w:val="17"/>
          <w:szCs w:val="17"/>
        </w:rPr>
        <w:t xml:space="preserve">  Cuenta   Descripción                     D / H     Distribución analítica</w:t>
      </w:r>
    </w:p>
    <w:p>
      <w:pPr>
        <w:shd w:fill="F5F7F9" w:val="clear"/>
        <w:spacing w:after="0" w:line="240"/>
        <w:ind w:left="260"/>
      </w:pPr>
      <w:r>
        <w:rPr>
          <w:rFonts w:ascii="Consolas" w:cs="Consolas" w:eastAsia="Consolas" w:hAnsi="Consolas"/>
          <w:color w:val="23303B"/>
          <w:sz w:val="17"/>
          <w:szCs w:val="17"/>
        </w:rPr>
        <w:t xml:space="preserve">  410161   Costo estándar maquinarias      Debe      T26-27 [Temporada]</w:t>
      </w:r>
    </w:p>
    <w:p>
      <w:pPr>
        <w:shd w:fill="F5F7F9" w:val="clear"/>
        <w:spacing w:after="0" w:line="240"/>
        <w:ind w:left="260"/>
      </w:pPr>
      <w:r>
        <w:rPr>
          <w:rFonts w:ascii="Consolas" w:cs="Consolas" w:eastAsia="Consolas" w:hAnsi="Consolas"/>
          <w:color w:val="23303B"/>
          <w:sz w:val="17"/>
          <w:szCs w:val="17"/>
        </w:rPr>
        <w:t xml:space="preserve">                                                     + Arándanos Brigitta 2019 [Centro de costos]</w:t>
      </w:r>
    </w:p>
    <w:p>
      <w:pPr>
        <w:shd w:fill="F5F7F9" w:val="clear"/>
        <w:spacing w:after="0" w:line="240"/>
        <w:ind w:left="260"/>
      </w:pPr>
      <w:r>
        <w:rPr>
          <w:rFonts w:ascii="Consolas" w:cs="Consolas" w:eastAsia="Consolas" w:hAnsi="Consolas"/>
          <w:color w:val="23303B"/>
          <w:sz w:val="17"/>
          <w:szCs w:val="17"/>
        </w:rPr>
        <w:t xml:space="preserve">                                                     + Aplicaciones [Actividad]   = 100 %</w:t>
      </w:r>
    </w:p>
    <w:p>
      <w:pPr>
        <w:shd w:fill="F5F7F9" w:val="clear"/>
        <w:spacing w:after="160" w:line="240"/>
        <w:ind w:left="260"/>
      </w:pPr>
      <w:r>
        <w:rPr>
          <w:rFonts w:ascii="Consolas" w:cs="Consolas" w:eastAsia="Consolas" w:hAnsi="Consolas"/>
          <w:color w:val="23303B"/>
          <w:sz w:val="17"/>
          <w:szCs w:val="17"/>
        </w:rPr>
        <w:t xml:space="preserve">  210233   Provisión costo maquinarias     Haber     (sin distribución analítica)</w:t>
      </w:r>
    </w:p>
    <w:p>
      <w:pPr>
        <w:spacing w:after="140" w:line="276"/>
      </w:pPr>
      <w:r>
        <w:rPr>
          <w:b/>
          <w:bCs/>
          <w:color w:val="1E7A5A"/>
          <w:sz w:val="20"/>
          <w:szCs w:val="20"/>
        </w:rPr>
        <w:t xml:space="preserve">Los tres planes presentes en el gasto, al 100 %, y el pasivo limpio.</w:t>
      </w:r>
    </w:p>
    <w:p>
      <w:pPr>
        <w:spacing w:after="60"/>
      </w:pPr>
    </w:p>
    <w:tbl>
      <w:tblPr>
        <w:tblW w:type="dxa" w:w="9360"/>
        <w:tblBorders>
          <w:top w:val="single" w:color="3C9BDD" w:sz="4"/>
          <w:left w:val="single" w:color="3C9BDD" w:sz="18"/>
          <w:bottom w:val="single" w:color="3C9BDD" w:sz="4"/>
          <w:right w:val="single" w:color="3C9BDD" w:sz="4"/>
          <w:insideH w:val="none"/>
          <w:insideV w:val="none"/>
        </w:tblBorders>
      </w:tblPr>
      <w:tblGrid>
        <w:gridCol w:w="9360"/>
      </w:tblGrid>
      <w:tr>
        <w:tc>
          <w:tcPr>
            <w:tcW w:type="dxa" w:w="9360"/>
            <w:shd w:fill="EAF3FB" w:val="clear"/>
            <w:tcMar>
              <w:top w:type="dxa" w:w="140"/>
              <w:left w:type="dxa" w:w="180"/>
              <w:bottom w:type="dxa" w:w="140"/>
              <w:right w:type="dxa" w:w="180"/>
            </w:tcMar>
          </w:tcPr>
          <w:p>
            <w:pPr>
              <w:spacing w:after="60"/>
            </w:pPr>
            <w:r>
              <w:rPr>
                <w:b/>
                <w:bCs/>
                <w:color w:val="1F3A5F"/>
                <w:sz w:val="20"/>
                <w:szCs w:val="20"/>
              </w:rPr>
              <w:t xml:space="preserve">Cómo se comprobó</w:t>
            </w:r>
          </w:p>
          <w:p>
            <w:pPr>
              <w:spacing w:after="0" w:line="276"/>
            </w:pPr>
            <w:r>
              <w:rPr>
                <w:sz w:val="20"/>
                <w:szCs w:val="20"/>
              </w:rPr>
              <w:t xml:space="preserve">Se ejecutó el flujo completo (crear registro → costear → contabilizar) en Demo y en Desarrollo, dentro de una transacción que se revierte al terminar. El resultado de arriba es la salida real de esa prueba en ambos ambientes. No quedó ningún registro ni comprobante nuevo en sus bases. Además se corrieron las 49 pruebas automatizadas del módulo sobre una base desechable: 0 fallos, 0 errores.</w:t>
            </w:r>
          </w:p>
        </w:tc>
      </w:tr>
    </w:tbl>
    <w:p>
      <w:pPr>
        <w:pStyle w:val="Heading1"/>
        <w:pBdr>
          <w:bottom w:val="single" w:color="3C9BDD" w:sz="8" w:space="6"/>
        </w:pBdr>
        <w:spacing w:after="180" w:before="360"/>
      </w:pPr>
      <w:r>
        <w:rPr>
          <w:b/>
          <w:bCs/>
          <w:color w:val="1F3A5F"/>
          <w:sz w:val="30"/>
          <w:szCs w:val="30"/>
        </w:rPr>
        <w:t xml:space="preserve">5. Dónde quedó desplegado</w:t>
      </w:r>
    </w:p>
    <w:tbl>
      <w:tblPr>
        <w:tblW w:type="dxa" w:w="9360"/>
        <w:tblBorders>
          <w:top w:val="single" w:color="C8D2DC" w:sz="4"/>
          <w:left w:val="single" w:color="C8D2DC" w:sz="4"/>
          <w:bottom w:val="single" w:color="C8D2DC" w:sz="4"/>
          <w:right w:val="single" w:color="C8D2DC" w:sz="4"/>
          <w:insideH w:val="single" w:color="DCE4EC" w:sz="4"/>
          <w:insideV w:val="single" w:color="DCE4EC" w:sz="4"/>
        </w:tblBorders>
      </w:tblPr>
      <w:tblGrid>
        <w:gridCol w:w="1900"/>
        <w:gridCol w:w="2900"/>
        <w:gridCol w:w="2060"/>
        <w:gridCol w:w="2500"/>
      </w:tblGrid>
      <w:tr>
        <w:trPr>
          <w:cantSplit/>
          <w:tblHeader/>
        </w:trPr>
        <w:tc>
          <w:tcPr>
            <w:tcW w:type="dxa" w:w="1900"/>
            <w:shd w:fill="EAF3FB" w:val="clear"/>
            <w:tcMar>
              <w:top w:type="dxa" w:w="80"/>
              <w:left w:type="dxa" w:w="110"/>
              <w:bottom w:type="dxa" w:w="80"/>
              <w:right w:type="dxa" w:w="110"/>
            </w:tcMar>
          </w:tcPr>
          <w:p>
            <w:pPr>
              <w:spacing w:after="0" w:line="260"/>
            </w:pPr>
            <w:r>
              <w:rPr>
                <w:b/>
                <w:bCs/>
                <w:color w:val="1F3A5F"/>
                <w:sz w:val="19"/>
                <w:szCs w:val="19"/>
              </w:rPr>
              <w:t xml:space="preserve">Ambiente</w:t>
            </w:r>
          </w:p>
        </w:tc>
        <w:tc>
          <w:tcPr>
            <w:tcW w:type="dxa" w:w="2900"/>
            <w:shd w:fill="EAF3FB" w:val="clear"/>
            <w:tcMar>
              <w:top w:type="dxa" w:w="80"/>
              <w:left w:type="dxa" w:w="110"/>
              <w:bottom w:type="dxa" w:w="80"/>
              <w:right w:type="dxa" w:w="110"/>
            </w:tcMar>
          </w:tcPr>
          <w:p>
            <w:pPr>
              <w:spacing w:after="0" w:line="260"/>
            </w:pPr>
            <w:r>
              <w:rPr>
                <w:b/>
                <w:bCs/>
                <w:color w:val="1F3A5F"/>
                <w:sz w:val="19"/>
                <w:szCs w:val="19"/>
              </w:rPr>
              <w:t xml:space="preserve">Dirección</w:t>
            </w:r>
          </w:p>
        </w:tc>
        <w:tc>
          <w:tcPr>
            <w:tcW w:type="dxa" w:w="2060"/>
            <w:shd w:fill="EAF3FB" w:val="clear"/>
            <w:tcMar>
              <w:top w:type="dxa" w:w="80"/>
              <w:left w:type="dxa" w:w="110"/>
              <w:bottom w:type="dxa" w:w="80"/>
              <w:right w:type="dxa" w:w="110"/>
            </w:tcMar>
          </w:tcPr>
          <w:p>
            <w:pPr>
              <w:spacing w:after="0" w:line="260"/>
            </w:pPr>
            <w:r>
              <w:rPr>
                <w:b/>
                <w:bCs/>
                <w:color w:val="1F3A5F"/>
                <w:sz w:val="19"/>
                <w:szCs w:val="19"/>
              </w:rPr>
              <w:t xml:space="preserve">Versión</w:t>
            </w:r>
          </w:p>
        </w:tc>
        <w:tc>
          <w:tcPr>
            <w:tcW w:type="dxa" w:w="2500"/>
            <w:shd w:fill="EAF3FB" w:val="clear"/>
            <w:tcMar>
              <w:top w:type="dxa" w:w="80"/>
              <w:left w:type="dxa" w:w="110"/>
              <w:bottom w:type="dxa" w:w="80"/>
              <w:right w:type="dxa" w:w="110"/>
            </w:tcMar>
          </w:tcPr>
          <w:p>
            <w:pPr>
              <w:spacing w:after="0" w:line="260"/>
            </w:pPr>
            <w:r>
              <w:rPr>
                <w:b/>
                <w:bCs/>
                <w:color w:val="1F3A5F"/>
                <w:sz w:val="19"/>
                <w:szCs w:val="19"/>
              </w:rPr>
              <w:t xml:space="preserve">Estado</w:t>
            </w:r>
          </w:p>
        </w:tc>
      </w:tr>
      <w:tr>
        <w:trPr>
          <w:cantSplit/>
        </w:trPr>
        <w:tc>
          <w:tcPr>
            <w:tcW w:type="dxa" w:w="1900"/>
            <w:tcMar>
              <w:top w:type="dxa" w:w="80"/>
              <w:left w:type="dxa" w:w="110"/>
              <w:bottom w:type="dxa" w:w="80"/>
              <w:right w:type="dxa" w:w="110"/>
            </w:tcMar>
          </w:tcPr>
          <w:p>
            <w:pPr>
              <w:spacing w:after="0" w:line="260"/>
            </w:pPr>
            <w:r>
              <w:rPr>
                <w:sz w:val="19"/>
                <w:szCs w:val="19"/>
              </w:rPr>
              <w:t xml:space="preserve">Demo</w:t>
            </w:r>
          </w:p>
        </w:tc>
        <w:tc>
          <w:tcPr>
            <w:tcW w:type="dxa" w:w="2900"/>
            <w:tcMar>
              <w:top w:type="dxa" w:w="80"/>
              <w:left w:type="dxa" w:w="110"/>
              <w:bottom w:type="dxa" w:w="80"/>
              <w:right w:type="dxa" w:w="110"/>
            </w:tcMar>
          </w:tcPr>
          <w:p>
            <w:pPr>
              <w:spacing w:after="0" w:line="260"/>
            </w:pPr>
            <w:r>
              <w:rPr>
                <w:sz w:val="19"/>
                <w:szCs w:val="19"/>
              </w:rPr>
              <w:t xml:space="preserve">demo.stepsapp.cl</w:t>
            </w:r>
          </w:p>
        </w:tc>
        <w:tc>
          <w:tcPr>
            <w:tcW w:type="dxa" w:w="2060"/>
            <w:tcMar>
              <w:top w:type="dxa" w:w="80"/>
              <w:left w:type="dxa" w:w="110"/>
              <w:bottom w:type="dxa" w:w="80"/>
              <w:right w:type="dxa" w:w="110"/>
            </w:tcMar>
          </w:tcPr>
          <w:p>
            <w:pPr>
              <w:spacing w:after="0" w:line="260"/>
            </w:pPr>
            <w:r>
              <w:rPr>
                <w:sz w:val="19"/>
                <w:szCs w:val="19"/>
              </w:rPr>
              <w:t xml:space="preserve">18.0.22.0.0</w:t>
            </w:r>
          </w:p>
        </w:tc>
        <w:tc>
          <w:tcPr>
            <w:tcW w:type="dxa" w:w="2500"/>
            <w:tcMar>
              <w:top w:type="dxa" w:w="80"/>
              <w:left w:type="dxa" w:w="110"/>
              <w:bottom w:type="dxa" w:w="80"/>
              <w:right w:type="dxa" w:w="110"/>
            </w:tcMar>
          </w:tcPr>
          <w:p>
            <w:pPr>
              <w:spacing w:after="0" w:line="260"/>
            </w:pPr>
            <w:r>
              <w:rPr>
                <w:sz w:val="19"/>
                <w:szCs w:val="19"/>
              </w:rPr>
              <w:t xml:space="preserve">Instalado, servicio activo</w:t>
            </w:r>
          </w:p>
        </w:tc>
      </w:tr>
      <w:tr>
        <w:trPr>
          <w:cantSplit/>
        </w:trPr>
        <w:tc>
          <w:tcPr>
            <w:tcW w:type="dxa" w:w="1900"/>
            <w:shd w:fill="F5F7F9" w:val="clear"/>
            <w:tcMar>
              <w:top w:type="dxa" w:w="80"/>
              <w:left w:type="dxa" w:w="110"/>
              <w:bottom w:type="dxa" w:w="80"/>
              <w:right w:type="dxa" w:w="110"/>
            </w:tcMar>
          </w:tcPr>
          <w:p>
            <w:pPr>
              <w:spacing w:after="0" w:line="260"/>
            </w:pPr>
            <w:r>
              <w:rPr>
                <w:sz w:val="19"/>
                <w:szCs w:val="19"/>
              </w:rPr>
              <w:t xml:space="preserve">Desarrollo</w:t>
            </w:r>
          </w:p>
        </w:tc>
        <w:tc>
          <w:tcPr>
            <w:tcW w:type="dxa" w:w="2900"/>
            <w:shd w:fill="F5F7F9" w:val="clear"/>
            <w:tcMar>
              <w:top w:type="dxa" w:w="80"/>
              <w:left w:type="dxa" w:w="110"/>
              <w:bottom w:type="dxa" w:w="80"/>
              <w:right w:type="dxa" w:w="110"/>
            </w:tcMar>
          </w:tcPr>
          <w:p>
            <w:pPr>
              <w:spacing w:after="0" w:line="260"/>
            </w:pPr>
            <w:r>
              <w:rPr>
                <w:sz w:val="19"/>
                <w:szCs w:val="19"/>
              </w:rPr>
              <w:t xml:space="preserve">desarrollo.stepsapp.cl</w:t>
            </w:r>
          </w:p>
        </w:tc>
        <w:tc>
          <w:tcPr>
            <w:tcW w:type="dxa" w:w="2060"/>
            <w:shd w:fill="F5F7F9" w:val="clear"/>
            <w:tcMar>
              <w:top w:type="dxa" w:w="80"/>
              <w:left w:type="dxa" w:w="110"/>
              <w:bottom w:type="dxa" w:w="80"/>
              <w:right w:type="dxa" w:w="110"/>
            </w:tcMar>
          </w:tcPr>
          <w:p>
            <w:pPr>
              <w:spacing w:after="0" w:line="260"/>
            </w:pPr>
            <w:r>
              <w:rPr>
                <w:sz w:val="19"/>
                <w:szCs w:val="19"/>
              </w:rPr>
              <w:t xml:space="preserve">18.0.22.0.0</w:t>
            </w:r>
          </w:p>
        </w:tc>
        <w:tc>
          <w:tcPr>
            <w:tcW w:type="dxa" w:w="2500"/>
            <w:shd w:fill="F5F7F9" w:val="clear"/>
            <w:tcMar>
              <w:top w:type="dxa" w:w="80"/>
              <w:left w:type="dxa" w:w="110"/>
              <w:bottom w:type="dxa" w:w="80"/>
              <w:right w:type="dxa" w:w="110"/>
            </w:tcMar>
          </w:tcPr>
          <w:p>
            <w:pPr>
              <w:spacing w:after="0" w:line="260"/>
            </w:pPr>
            <w:r>
              <w:rPr>
                <w:sz w:val="19"/>
                <w:szCs w:val="19"/>
              </w:rPr>
              <w:t xml:space="preserve">Instalado, servicio activo</w:t>
            </w:r>
          </w:p>
        </w:tc>
      </w:tr>
      <w:tr>
        <w:trPr>
          <w:cantSplit/>
        </w:trPr>
        <w:tc>
          <w:tcPr>
            <w:tcW w:type="dxa" w:w="1900"/>
            <w:tcMar>
              <w:top w:type="dxa" w:w="80"/>
              <w:left w:type="dxa" w:w="110"/>
              <w:bottom w:type="dxa" w:w="80"/>
              <w:right w:type="dxa" w:w="110"/>
            </w:tcMar>
          </w:tcPr>
          <w:p>
            <w:pPr>
              <w:spacing w:after="0" w:line="260"/>
            </w:pPr>
            <w:r>
              <w:rPr>
                <w:sz w:val="19"/>
                <w:szCs w:val="19"/>
              </w:rPr>
              <w:t xml:space="preserve">Producción</w:t>
            </w:r>
          </w:p>
        </w:tc>
        <w:tc>
          <w:tcPr>
            <w:tcW w:type="dxa" w:w="2900"/>
            <w:tcMar>
              <w:top w:type="dxa" w:w="80"/>
              <w:left w:type="dxa" w:w="110"/>
              <w:bottom w:type="dxa" w:w="80"/>
              <w:right w:type="dxa" w:w="110"/>
            </w:tcMar>
          </w:tcPr>
          <w:p>
            <w:pPr>
              <w:spacing w:after="0" w:line="260"/>
            </w:pPr>
            <w:r>
              <w:rPr>
                <w:sz w:val="19"/>
                <w:szCs w:val="19"/>
              </w:rPr>
              <w:t xml:space="preserve">stepsapp.cl</w:t>
            </w:r>
          </w:p>
        </w:tc>
        <w:tc>
          <w:tcPr>
            <w:tcW w:type="dxa" w:w="2060"/>
            <w:tcMar>
              <w:top w:type="dxa" w:w="80"/>
              <w:left w:type="dxa" w:w="110"/>
              <w:bottom w:type="dxa" w:w="80"/>
              <w:right w:type="dxa" w:w="110"/>
            </w:tcMar>
          </w:tcPr>
          <w:p>
            <w:pPr>
              <w:spacing w:after="0" w:line="260"/>
            </w:pPr>
            <w:r>
              <w:rPr>
                <w:sz w:val="19"/>
                <w:szCs w:val="19"/>
              </w:rPr>
              <w:t xml:space="preserve">—</w:t>
            </w:r>
          </w:p>
        </w:tc>
        <w:tc>
          <w:tcPr>
            <w:tcW w:type="dxa" w:w="2500"/>
            <w:tcMar>
              <w:top w:type="dxa" w:w="80"/>
              <w:left w:type="dxa" w:w="110"/>
              <w:bottom w:type="dxa" w:w="80"/>
              <w:right w:type="dxa" w:w="110"/>
            </w:tcMar>
          </w:tcPr>
          <w:p>
            <w:pPr>
              <w:spacing w:after="0" w:line="260"/>
            </w:pPr>
            <w:r>
              <w:rPr>
                <w:sz w:val="19"/>
                <w:szCs w:val="19"/>
              </w:rPr>
              <w:t xml:space="preserve">No se tocó</w:t>
            </w:r>
          </w:p>
        </w:tc>
      </w:tr>
    </w:tbl>
    <w:p>
      <w:pPr>
        <w:spacing w:after="140"/>
      </w:pPr>
    </w:p>
    <w:p>
      <w:pPr>
        <w:spacing w:after="140" w:line="276"/>
      </w:pPr>
      <w:r>
        <w:rPr>
          <w:sz w:val="21"/>
          <w:szCs w:val="21"/>
        </w:rPr>
        <w:t xml:space="preserve">Producción no se vio afectada: el módulo de Maquinaria figura desinstalado allí, así que el cambio de código no la alcanza. </w:t>
      </w:r>
      <w:r>
        <w:rPr>
          <w:b/>
          <w:bCs/>
          <w:sz w:val="21"/>
          <w:szCs w:val="21"/>
        </w:rPr>
        <w:t xml:space="preserve">Antes de desplegar se respaldaron ambas bases completas y ambas copias del módulo.</w:t>
      </w:r>
    </w:p>
    <w:p>
      <w:pPr>
        <w:pStyle w:val="Heading1"/>
        <w:pBdr>
          <w:bottom w:val="single" w:color="3C9BDD" w:sz="8" w:space="6"/>
        </w:pBdr>
        <w:spacing w:after="180" w:before="360"/>
      </w:pPr>
      <w:r>
        <w:rPr>
          <w:b/>
          <w:bCs/>
          <w:color w:val="1F3A5F"/>
          <w:sz w:val="30"/>
          <w:szCs w:val="30"/>
        </w:rPr>
        <w:t xml:space="preserve">6. Cómo comprobarlo usted mismo</w:t>
      </w:r>
    </w:p>
    <w:p>
      <w:pPr>
        <w:spacing w:after="140" w:line="276"/>
      </w:pPr>
      <w:r>
        <w:rPr>
          <w:sz w:val="21"/>
          <w:szCs w:val="21"/>
        </w:rPr>
        <w:t xml:space="preserve">Cinco minutos, en Demo o en Desarrollo, sin necesidad de datos nuevos:</w:t>
      </w:r>
    </w:p>
    <w:p>
      <w:pPr>
        <w:pStyle w:val="ListParagraph"/>
        <w:numPr>
          <w:ilvl w:val="0"/>
          <w:numId w:val="3"/>
        </w:numPr>
        <w:spacing w:after="100" w:line="276"/>
      </w:pPr>
      <w:r>
        <w:rPr>
          <w:sz w:val="21"/>
          <w:szCs w:val="21"/>
        </w:rPr>
        <w:t xml:space="preserve">Entre a Maquinaria → Horas Máquina y cree un registro nuevo con una fecha dentro de la temporada vigente (T26-27).</w:t>
      </w:r>
    </w:p>
    <w:p>
      <w:pPr>
        <w:pStyle w:val="ListParagraph"/>
        <w:numPr>
          <w:ilvl w:val="0"/>
          <w:numId w:val="3"/>
        </w:numPr>
        <w:spacing w:after="100" w:line="276"/>
      </w:pPr>
      <w:r>
        <w:rPr>
          <w:sz w:val="21"/>
          <w:szCs w:val="21"/>
        </w:rPr>
        <w:t xml:space="preserve">En el encabezado confirme que el campo Temporada se llenó solo con T26-27.</w:t>
      </w:r>
    </w:p>
    <w:p>
      <w:pPr>
        <w:pStyle w:val="ListParagraph"/>
        <w:numPr>
          <w:ilvl w:val="0"/>
          <w:numId w:val="3"/>
        </w:numPr>
        <w:spacing w:after="100" w:line="276"/>
      </w:pPr>
      <w:r>
        <w:rPr>
          <w:sz w:val="21"/>
          <w:szCs w:val="21"/>
        </w:rPr>
        <w:t xml:space="preserve">Agregue una línea de detalle con Maquinaria, Centro de costos y una Labor cuya Actividad sea la que quiere probar (por ejemplo, Aplicaciones).</w:t>
      </w:r>
    </w:p>
    <w:p>
      <w:pPr>
        <w:pStyle w:val="ListParagraph"/>
        <w:numPr>
          <w:ilvl w:val="0"/>
          <w:numId w:val="3"/>
        </w:numPr>
        <w:spacing w:after="100" w:line="276"/>
      </w:pPr>
      <w:r>
        <w:rPr>
          <w:sz w:val="21"/>
          <w:szCs w:val="21"/>
        </w:rPr>
        <w:t xml:space="preserve">Pase el registro a Listo, luego Costear y luego Contabilizar.</w:t>
      </w:r>
    </w:p>
    <w:p>
      <w:pPr>
        <w:pStyle w:val="ListParagraph"/>
        <w:numPr>
          <w:ilvl w:val="0"/>
          <w:numId w:val="3"/>
        </w:numPr>
        <w:spacing w:after="100" w:line="276"/>
      </w:pPr>
      <w:r>
        <w:rPr>
          <w:sz w:val="21"/>
          <w:szCs w:val="21"/>
        </w:rPr>
        <w:t xml:space="preserve">Abra el comprobante contable y mire la columna Distribución Analítica: la línea de gasto (410161) debe mostrar tres etiquetas —temporada, centro de costos y actividad— y la línea de pasivo (210233) ninguna.</w:t>
      </w:r>
    </w:p>
    <w:p>
      <w:pPr>
        <w:spacing w:after="60"/>
      </w:pPr>
    </w:p>
    <w:tbl>
      <w:tblPr>
        <w:tblW w:type="dxa" w:w="9360"/>
        <w:tblBorders>
          <w:top w:val="single" w:color="3C9BDD" w:sz="4"/>
          <w:left w:val="single" w:color="3C9BDD" w:sz="18"/>
          <w:bottom w:val="single" w:color="3C9BDD" w:sz="4"/>
          <w:right w:val="single" w:color="3C9BDD" w:sz="4"/>
          <w:insideH w:val="none"/>
          <w:insideV w:val="none"/>
        </w:tblBorders>
      </w:tblPr>
      <w:tblGrid>
        <w:gridCol w:w="9360"/>
      </w:tblGrid>
      <w:tr>
        <w:tc>
          <w:tcPr>
            <w:tcW w:type="dxa" w:w="9360"/>
            <w:shd w:fill="EAF3FB" w:val="clear"/>
            <w:tcMar>
              <w:top w:type="dxa" w:w="140"/>
              <w:left w:type="dxa" w:w="180"/>
              <w:bottom w:type="dxa" w:w="140"/>
              <w:right w:type="dxa" w:w="180"/>
            </w:tcMar>
          </w:tcPr>
          <w:p>
            <w:pPr>
              <w:spacing w:after="60"/>
            </w:pPr>
            <w:r>
              <w:rPr>
                <w:b/>
                <w:bCs/>
                <w:color w:val="1F3A5F"/>
                <w:sz w:val="20"/>
                <w:szCs w:val="20"/>
              </w:rPr>
              <w:t xml:space="preserve">Si alguna etiqueta no aparece</w:t>
            </w:r>
          </w:p>
          <w:p>
            <w:pPr>
              <w:spacing w:after="0" w:line="276"/>
            </w:pPr>
            <w:r>
              <w:rPr>
                <w:sz w:val="20"/>
                <w:szCs w:val="20"/>
              </w:rPr>
              <w:t xml:space="preserve">Significa que ese maestro no tiene cuenta analítica configurada. Revise la Temporada (en su ficha, campo «Cuenta analítica») o la Actividad de la labor. El sistema no inventa la cuenta: si el maestro no la tiene, ese segmento simplemente no se agrega y los otros dos quedan igual de correctos. Esto es justamente lo que motiva las decisiones 1 y 2 de la sección siguiente.</w:t>
            </w:r>
          </w:p>
        </w:tc>
      </w:tr>
    </w:tbl>
    <w:p>
      <w:r>
        <w:br w:type="page"/>
      </w:r>
    </w:p>
    <w:p>
      <w:pPr>
        <w:pStyle w:val="Heading1"/>
        <w:pBdr>
          <w:bottom w:val="single" w:color="3C9BDD" w:sz="8" w:space="6"/>
        </w:pBdr>
        <w:spacing w:after="180" w:before="360"/>
      </w:pPr>
      <w:r>
        <w:rPr>
          <w:b/>
          <w:bCs/>
          <w:color w:val="1F3A5F"/>
          <w:sz w:val="30"/>
          <w:szCs w:val="30"/>
        </w:rPr>
        <w:t xml:space="preserve">7. Cuatro decisiones que necesitamos de usted</w:t>
      </w:r>
    </w:p>
    <w:p>
      <w:pPr>
        <w:spacing w:after="140" w:line="276"/>
      </w:pPr>
      <w:r>
        <w:rPr>
          <w:sz w:val="21"/>
          <w:szCs w:val="21"/>
        </w:rPr>
        <w:t xml:space="preserve">Las cuatro tienen algo en común y conviene decirlo de entrada: </w:t>
      </w:r>
      <w:r>
        <w:rPr>
          <w:b/>
          <w:bCs/>
          <w:sz w:val="21"/>
          <w:szCs w:val="21"/>
        </w:rPr>
        <w:t xml:space="preserve">son datos de su contabilidad que ya estaban configurados de una manera, y no podemos distinguir un error de una decisión deliberada suya.</w:t>
      </w:r>
      <w:r>
        <w:rPr>
          <w:sz w:val="21"/>
          <w:szCs w:val="21"/>
        </w:rPr>
        <w:t xml:space="preserve"> Por eso la rutina automática sólo completó lo que estaba vacío y nunca reasignó lo que ya tenía un valor. Preferimos reportarlo y que usted decida, antes que cambiar por nuestra cuenta cómo se acumulan sus costos.</w:t>
      </w:r>
    </w:p>
    <w:p>
      <w:pPr>
        <w:pStyle w:val="Heading2"/>
        <w:spacing w:after="120" w:before="260"/>
      </w:pPr>
      <w:r>
        <w:rPr>
          <w:b/>
          <w:bCs/>
          <w:color w:val="1F3A5F"/>
          <w:sz w:val="24"/>
          <w:szCs w:val="24"/>
        </w:rPr>
        <w:t xml:space="preserve">Decisión 1. Dos actividades apuntan a una cuenta analítica que no les corresponde</w:t>
      </w:r>
    </w:p>
    <w:p>
      <w:pPr>
        <w:pStyle w:val="Heading3"/>
        <w:spacing w:after="90" w:before="180"/>
      </w:pPr>
      <w:r>
        <w:rPr>
          <w:b/>
          <w:bCs/>
          <w:color w:val="3C9BDD"/>
          <w:sz w:val="21"/>
          <w:szCs w:val="21"/>
        </w:rPr>
        <w:t xml:space="preserve">Qué encontramos</w:t>
      </w:r>
    </w:p>
    <w:p>
      <w:pPr>
        <w:spacing w:after="140" w:line="276"/>
      </w:pPr>
      <w:r>
        <w:rPr>
          <w:sz w:val="21"/>
          <w:szCs w:val="21"/>
        </w:rPr>
        <w:t xml:space="preserve">En el maestro de Actividades, tres registros tienen una cuenta analítica cuyo nombre no coincide con el de la actividad:</w:t>
      </w:r>
    </w:p>
    <w:p>
      <w:pPr>
        <w:spacing w:after="40"/>
      </w:pPr>
    </w:p>
    <w:tbl>
      <w:tblPr>
        <w:tblW w:type="dxa" w:w="9360"/>
        <w:tblBorders>
          <w:top w:val="single" w:color="C8D2DC" w:sz="4"/>
          <w:left w:val="single" w:color="C8D2DC" w:sz="4"/>
          <w:bottom w:val="single" w:color="C8D2DC" w:sz="4"/>
          <w:right w:val="single" w:color="C8D2DC" w:sz="4"/>
          <w:insideH w:val="single" w:color="DCE4EC" w:sz="4"/>
          <w:insideV w:val="single" w:color="DCE4EC" w:sz="4"/>
        </w:tblBorders>
      </w:tblPr>
      <w:tblGrid>
        <w:gridCol w:w="2200"/>
        <w:gridCol w:w="3200"/>
        <w:gridCol w:w="3960"/>
      </w:tblGrid>
      <w:tr>
        <w:trPr>
          <w:cantSplit/>
          <w:tblHeader/>
        </w:trPr>
        <w:tc>
          <w:tcPr>
            <w:tcW w:type="dxa" w:w="2200"/>
            <w:shd w:fill="EAF3FB" w:val="clear"/>
            <w:tcMar>
              <w:top w:type="dxa" w:w="80"/>
              <w:left w:type="dxa" w:w="110"/>
              <w:bottom w:type="dxa" w:w="80"/>
              <w:right w:type="dxa" w:w="110"/>
            </w:tcMar>
          </w:tcPr>
          <w:p>
            <w:pPr>
              <w:spacing w:after="0" w:line="260"/>
            </w:pPr>
            <w:r>
              <w:rPr>
                <w:b/>
                <w:bCs/>
                <w:color w:val="1F3A5F"/>
                <w:sz w:val="19"/>
                <w:szCs w:val="19"/>
              </w:rPr>
              <w:t xml:space="preserve">Actividad</w:t>
            </w:r>
          </w:p>
        </w:tc>
        <w:tc>
          <w:tcPr>
            <w:tcW w:type="dxa" w:w="3200"/>
            <w:shd w:fill="EAF3FB" w:val="clear"/>
            <w:tcMar>
              <w:top w:type="dxa" w:w="80"/>
              <w:left w:type="dxa" w:w="110"/>
              <w:bottom w:type="dxa" w:w="80"/>
              <w:right w:type="dxa" w:w="110"/>
            </w:tcMar>
          </w:tcPr>
          <w:p>
            <w:pPr>
              <w:spacing w:after="0" w:line="260"/>
            </w:pPr>
            <w:r>
              <w:rPr>
                <w:b/>
                <w:bCs/>
                <w:color w:val="1F3A5F"/>
                <w:sz w:val="19"/>
                <w:szCs w:val="19"/>
              </w:rPr>
              <w:t xml:space="preserve">Cuenta analítica a la que apunta hoy</w:t>
            </w:r>
          </w:p>
        </w:tc>
        <w:tc>
          <w:tcPr>
            <w:tcW w:type="dxa" w:w="3960"/>
            <w:shd w:fill="EAF3FB" w:val="clear"/>
            <w:tcMar>
              <w:top w:type="dxa" w:w="80"/>
              <w:left w:type="dxa" w:w="110"/>
              <w:bottom w:type="dxa" w:w="80"/>
              <w:right w:type="dxa" w:w="110"/>
            </w:tcMar>
          </w:tcPr>
          <w:p>
            <w:pPr>
              <w:spacing w:after="0" w:line="260"/>
            </w:pPr>
            <w:r>
              <w:rPr>
                <w:b/>
                <w:bCs/>
                <w:color w:val="1F3A5F"/>
                <w:sz w:val="19"/>
                <w:szCs w:val="19"/>
              </w:rPr>
              <w:t xml:space="preserve">Lectura</w:t>
            </w:r>
          </w:p>
        </w:tc>
      </w:tr>
      <w:tr>
        <w:trPr>
          <w:cantSplit/>
        </w:trPr>
        <w:tc>
          <w:tcPr>
            <w:tcW w:type="dxa" w:w="2200"/>
            <w:tcMar>
              <w:top w:type="dxa" w:w="80"/>
              <w:left w:type="dxa" w:w="110"/>
              <w:bottom w:type="dxa" w:w="80"/>
              <w:right w:type="dxa" w:w="110"/>
            </w:tcMar>
          </w:tcPr>
          <w:p>
            <w:pPr>
              <w:spacing w:after="0" w:line="260"/>
            </w:pPr>
            <w:r>
              <w:rPr>
                <w:sz w:val="19"/>
                <w:szCs w:val="19"/>
              </w:rPr>
              <w:t xml:space="preserve">Labores en verde</w:t>
            </w:r>
          </w:p>
        </w:tc>
        <w:tc>
          <w:tcPr>
            <w:tcW w:type="dxa" w:w="3200"/>
            <w:tcMar>
              <w:top w:type="dxa" w:w="80"/>
              <w:left w:type="dxa" w:w="110"/>
              <w:bottom w:type="dxa" w:w="80"/>
              <w:right w:type="dxa" w:w="110"/>
            </w:tcMar>
          </w:tcPr>
          <w:p>
            <w:pPr>
              <w:spacing w:after="0" w:line="260"/>
            </w:pPr>
            <w:r>
              <w:rPr>
                <w:sz w:val="19"/>
                <w:szCs w:val="19"/>
              </w:rPr>
              <w:t xml:space="preserve">Poda</w:t>
            </w:r>
          </w:p>
        </w:tc>
        <w:tc>
          <w:tcPr>
            <w:tcW w:type="dxa" w:w="3960"/>
            <w:tcMar>
              <w:top w:type="dxa" w:w="80"/>
              <w:left w:type="dxa" w:w="110"/>
              <w:bottom w:type="dxa" w:w="80"/>
              <w:right w:type="dxa" w:w="110"/>
            </w:tcMar>
          </w:tcPr>
          <w:p>
            <w:pPr>
              <w:spacing w:after="0" w:line="260"/>
            </w:pPr>
            <w:r>
              <w:rPr>
                <w:sz w:val="19"/>
                <w:szCs w:val="19"/>
              </w:rPr>
              <w:t xml:space="preserve">Parece un error: son labores distintas.</w:t>
            </w:r>
          </w:p>
        </w:tc>
      </w:tr>
      <w:tr>
        <w:trPr>
          <w:cantSplit/>
        </w:trPr>
        <w:tc>
          <w:tcPr>
            <w:tcW w:type="dxa" w:w="2200"/>
            <w:shd w:fill="F5F7F9" w:val="clear"/>
            <w:tcMar>
              <w:top w:type="dxa" w:w="80"/>
              <w:left w:type="dxa" w:w="110"/>
              <w:bottom w:type="dxa" w:w="80"/>
              <w:right w:type="dxa" w:w="110"/>
            </w:tcMar>
          </w:tcPr>
          <w:p>
            <w:pPr>
              <w:spacing w:after="0" w:line="260"/>
            </w:pPr>
            <w:r>
              <w:rPr>
                <w:sz w:val="19"/>
                <w:szCs w:val="19"/>
              </w:rPr>
              <w:t xml:space="preserve">Labores generales</w:t>
            </w:r>
          </w:p>
        </w:tc>
        <w:tc>
          <w:tcPr>
            <w:tcW w:type="dxa" w:w="3200"/>
            <w:shd w:fill="F5F7F9" w:val="clear"/>
            <w:tcMar>
              <w:top w:type="dxa" w:w="80"/>
              <w:left w:type="dxa" w:w="110"/>
              <w:bottom w:type="dxa" w:w="80"/>
              <w:right w:type="dxa" w:w="110"/>
            </w:tcMar>
          </w:tcPr>
          <w:p>
            <w:pPr>
              <w:spacing w:after="0" w:line="260"/>
            </w:pPr>
            <w:r>
              <w:rPr>
                <w:sz w:val="19"/>
                <w:szCs w:val="19"/>
              </w:rPr>
              <w:t xml:space="preserve">[01777001] Administración</w:t>
            </w:r>
          </w:p>
        </w:tc>
        <w:tc>
          <w:tcPr>
            <w:tcW w:type="dxa" w:w="3960"/>
            <w:shd w:fill="F5F7F9" w:val="clear"/>
            <w:tcMar>
              <w:top w:type="dxa" w:w="80"/>
              <w:left w:type="dxa" w:w="110"/>
              <w:bottom w:type="dxa" w:w="80"/>
              <w:right w:type="dxa" w:w="110"/>
            </w:tcMar>
          </w:tcPr>
          <w:p>
            <w:pPr>
              <w:spacing w:after="0" w:line="260"/>
            </w:pPr>
            <w:r>
              <w:rPr>
                <w:sz w:val="19"/>
                <w:szCs w:val="19"/>
              </w:rPr>
              <w:t xml:space="preserve">Puede ser intencional: es razonable que las labores generales carguen a Administración.</w:t>
            </w:r>
          </w:p>
        </w:tc>
      </w:tr>
      <w:tr>
        <w:trPr>
          <w:cantSplit/>
        </w:trPr>
        <w:tc>
          <w:tcPr>
            <w:tcW w:type="dxa" w:w="2200"/>
            <w:tcMar>
              <w:top w:type="dxa" w:w="80"/>
              <w:left w:type="dxa" w:w="110"/>
              <w:bottom w:type="dxa" w:w="80"/>
              <w:right w:type="dxa" w:w="110"/>
            </w:tcMar>
          </w:tcPr>
          <w:p>
            <w:pPr>
              <w:spacing w:after="0" w:line="260"/>
            </w:pPr>
            <w:r>
              <w:rPr>
                <w:sz w:val="19"/>
                <w:szCs w:val="19"/>
              </w:rPr>
              <w:t xml:space="preserve">Mantención de campo</w:t>
            </w:r>
          </w:p>
        </w:tc>
        <w:tc>
          <w:tcPr>
            <w:tcW w:type="dxa" w:w="3200"/>
            <w:tcMar>
              <w:top w:type="dxa" w:w="80"/>
              <w:left w:type="dxa" w:w="110"/>
              <w:bottom w:type="dxa" w:w="80"/>
              <w:right w:type="dxa" w:w="110"/>
            </w:tcMar>
          </w:tcPr>
          <w:p>
            <w:pPr>
              <w:spacing w:after="0" w:line="260"/>
            </w:pPr>
            <w:r>
              <w:rPr>
                <w:sz w:val="19"/>
                <w:szCs w:val="19"/>
              </w:rPr>
              <w:t xml:space="preserve">Mantención del campo</w:t>
            </w:r>
          </w:p>
        </w:tc>
        <w:tc>
          <w:tcPr>
            <w:tcW w:type="dxa" w:w="3960"/>
            <w:tcMar>
              <w:top w:type="dxa" w:w="80"/>
              <w:left w:type="dxa" w:w="110"/>
              <w:bottom w:type="dxa" w:w="80"/>
              <w:right w:type="dxa" w:w="110"/>
            </w:tcMar>
          </w:tcPr>
          <w:p>
            <w:pPr>
              <w:spacing w:after="0" w:line="260"/>
            </w:pPr>
            <w:r>
              <w:rPr>
                <w:sz w:val="19"/>
                <w:szCs w:val="19"/>
              </w:rPr>
              <w:t xml:space="preserve">No es un error, sólo el nombre escrito distinto. No requiere acción.</w:t>
            </w:r>
          </w:p>
        </w:tc>
      </w:tr>
    </w:tbl>
    <w:p>
      <w:pPr>
        <w:pStyle w:val="Heading3"/>
        <w:spacing w:after="90" w:before="180"/>
      </w:pPr>
      <w:r>
        <w:rPr>
          <w:b/>
          <w:bCs/>
          <w:color w:val="3C9BDD"/>
          <w:sz w:val="21"/>
          <w:szCs w:val="21"/>
        </w:rPr>
        <w:t xml:space="preserve">Por qué importa</w:t>
      </w:r>
    </w:p>
    <w:p>
      <w:pPr>
        <w:spacing w:after="140" w:line="276"/>
      </w:pPr>
      <w:r>
        <w:rPr>
          <w:sz w:val="21"/>
          <w:szCs w:val="21"/>
        </w:rPr>
        <w:t xml:space="preserve">La cuenta analítica de la actividad es la que viaja al comprobante contable. Mientras «Labores en verde» apunte a «Poda», todo el costo de maquinaria de labores en verde se acumula bajo Poda, y sus informes por actividad no cuadran con la realidad del campo.</w:t>
      </w:r>
    </w:p>
    <w:p>
      <w:pPr>
        <w:pStyle w:val="Heading3"/>
        <w:spacing w:after="90" w:before="180"/>
      </w:pPr>
      <w:r>
        <w:rPr>
          <w:b/>
          <w:bCs/>
          <w:color w:val="3C9BDD"/>
          <w:sz w:val="21"/>
          <w:szCs w:val="21"/>
        </w:rPr>
        <w:t xml:space="preserve">Por qué no lo cambiamos por nuestra cuenta</w:t>
      </w:r>
    </w:p>
    <w:p>
      <w:pPr>
        <w:spacing w:after="140" w:line="276"/>
      </w:pPr>
      <w:r>
        <w:rPr>
          <w:sz w:val="21"/>
          <w:szCs w:val="21"/>
        </w:rPr>
        <w:t xml:space="preserve">Porque «Labores generales → Administración» es perfectamente defendible como decisión contable, y desde fuera no podemos saber si «Labores en verde → Poda» es del mismo tipo o simplemente quedó mal. Si lo cambiáramos y era intencional, le romperíamos la acumulación de costos sin que nadie se enterara.</w:t>
      </w:r>
    </w:p>
    <w:p>
      <w:pPr>
        <w:pStyle w:val="Heading3"/>
        <w:spacing w:after="90" w:before="180"/>
      </w:pPr>
      <w:r>
        <w:rPr>
          <w:b/>
          <w:bCs/>
          <w:color w:val="3C9BDD"/>
          <w:sz w:val="21"/>
          <w:szCs w:val="21"/>
        </w:rPr>
        <w:t xml:space="preserve">Sus opciones</w:t>
      </w:r>
    </w:p>
    <w:tbl>
      <w:tblPr>
        <w:tblW w:type="dxa" w:w="9360"/>
        <w:tblBorders>
          <w:top w:val="single" w:color="C8D2DC" w:sz="4"/>
          <w:left w:val="single" w:color="C8D2DC" w:sz="4"/>
          <w:bottom w:val="single" w:color="C8D2DC" w:sz="4"/>
          <w:right w:val="single" w:color="C8D2DC" w:sz="4"/>
          <w:insideH w:val="single" w:color="DCE4EC" w:sz="4"/>
          <w:insideV w:val="single" w:color="DCE4EC" w:sz="4"/>
        </w:tblBorders>
      </w:tblPr>
      <w:tblGrid>
        <w:gridCol w:w="2100"/>
        <w:gridCol w:w="4200"/>
        <w:gridCol w:w="3060"/>
      </w:tblGrid>
      <w:tr>
        <w:trPr>
          <w:cantSplit/>
          <w:tblHeader/>
        </w:trPr>
        <w:tc>
          <w:tcPr>
            <w:tcW w:type="dxa" w:w="2100"/>
            <w:shd w:fill="EAF3FB" w:val="clear"/>
            <w:tcMar>
              <w:top w:type="dxa" w:w="80"/>
              <w:left w:type="dxa" w:w="110"/>
              <w:bottom w:type="dxa" w:w="80"/>
              <w:right w:type="dxa" w:w="110"/>
            </w:tcMar>
          </w:tcPr>
          <w:p>
            <w:pPr>
              <w:spacing w:after="0" w:line="260"/>
            </w:pPr>
            <w:r>
              <w:rPr>
                <w:b/>
                <w:bCs/>
                <w:color w:val="1F3A5F"/>
                <w:sz w:val="19"/>
                <w:szCs w:val="19"/>
              </w:rPr>
              <w:t xml:space="preserve">Opción</w:t>
            </w:r>
          </w:p>
        </w:tc>
        <w:tc>
          <w:tcPr>
            <w:tcW w:type="dxa" w:w="4200"/>
            <w:shd w:fill="EAF3FB" w:val="clear"/>
            <w:tcMar>
              <w:top w:type="dxa" w:w="80"/>
              <w:left w:type="dxa" w:w="110"/>
              <w:bottom w:type="dxa" w:w="80"/>
              <w:right w:type="dxa" w:w="110"/>
            </w:tcMar>
          </w:tcPr>
          <w:p>
            <w:pPr>
              <w:spacing w:after="0" w:line="260"/>
            </w:pPr>
            <w:r>
              <w:rPr>
                <w:b/>
                <w:bCs/>
                <w:color w:val="1F3A5F"/>
                <w:sz w:val="19"/>
                <w:szCs w:val="19"/>
              </w:rPr>
              <w:t xml:space="preserve">Qué implica</w:t>
            </w:r>
          </w:p>
        </w:tc>
        <w:tc>
          <w:tcPr>
            <w:tcW w:type="dxa" w:w="3060"/>
            <w:shd w:fill="EAF3FB" w:val="clear"/>
            <w:tcMar>
              <w:top w:type="dxa" w:w="80"/>
              <w:left w:type="dxa" w:w="110"/>
              <w:bottom w:type="dxa" w:w="80"/>
              <w:right w:type="dxa" w:w="110"/>
            </w:tcMar>
          </w:tcPr>
          <w:p>
            <w:pPr>
              <w:spacing w:after="0" w:line="260"/>
            </w:pPr>
            <w:r>
              <w:rPr>
                <w:b/>
                <w:bCs/>
                <w:color w:val="1F3A5F"/>
                <w:sz w:val="19"/>
                <w:szCs w:val="19"/>
              </w:rPr>
              <w:t xml:space="preserve">Cuándo elegirla</w:t>
            </w:r>
          </w:p>
        </w:tc>
      </w:tr>
      <w:tr>
        <w:trPr>
          <w:cantSplit/>
        </w:trPr>
        <w:tc>
          <w:tcPr>
            <w:tcW w:type="dxa" w:w="2100"/>
            <w:tcMar>
              <w:top w:type="dxa" w:w="80"/>
              <w:left w:type="dxa" w:w="110"/>
              <w:bottom w:type="dxa" w:w="80"/>
              <w:right w:type="dxa" w:w="110"/>
            </w:tcMar>
          </w:tcPr>
          <w:p>
            <w:pPr>
              <w:spacing w:after="0" w:line="260"/>
            </w:pPr>
            <w:r>
              <w:rPr>
                <w:sz w:val="19"/>
                <w:szCs w:val="19"/>
              </w:rPr>
              <w:t xml:space="preserve">A. Dejar todo como está</w:t>
            </w:r>
          </w:p>
        </w:tc>
        <w:tc>
          <w:tcPr>
            <w:tcW w:type="dxa" w:w="4200"/>
            <w:tcMar>
              <w:top w:type="dxa" w:w="80"/>
              <w:left w:type="dxa" w:w="110"/>
              <w:bottom w:type="dxa" w:w="80"/>
              <w:right w:type="dxa" w:w="110"/>
            </w:tcMar>
          </w:tcPr>
          <w:p>
            <w:pPr>
              <w:spacing w:after="0" w:line="260"/>
            </w:pPr>
            <w:r>
              <w:rPr>
                <w:sz w:val="19"/>
                <w:szCs w:val="19"/>
              </w:rPr>
              <w:t xml:space="preserve">Nada que hacer. El costo sigue acumulándose donde está hoy.</w:t>
            </w:r>
          </w:p>
        </w:tc>
        <w:tc>
          <w:tcPr>
            <w:tcW w:type="dxa" w:w="3060"/>
            <w:tcMar>
              <w:top w:type="dxa" w:w="80"/>
              <w:left w:type="dxa" w:w="110"/>
              <w:bottom w:type="dxa" w:w="80"/>
              <w:right w:type="dxa" w:w="110"/>
            </w:tcMar>
          </w:tcPr>
          <w:p>
            <w:pPr>
              <w:spacing w:after="0" w:line="260"/>
            </w:pPr>
            <w:r>
              <w:rPr>
                <w:sz w:val="19"/>
                <w:szCs w:val="19"/>
              </w:rPr>
              <w:t xml:space="preserve">Si las tres asignaciones son deliberadas.</w:t>
            </w:r>
          </w:p>
        </w:tc>
      </w:tr>
      <w:tr>
        <w:trPr>
          <w:cantSplit/>
        </w:trPr>
        <w:tc>
          <w:tcPr>
            <w:tcW w:type="dxa" w:w="2100"/>
            <w:shd w:fill="F5F7F9" w:val="clear"/>
            <w:tcMar>
              <w:top w:type="dxa" w:w="80"/>
              <w:left w:type="dxa" w:w="110"/>
              <w:bottom w:type="dxa" w:w="80"/>
              <w:right w:type="dxa" w:w="110"/>
            </w:tcMar>
          </w:tcPr>
          <w:p>
            <w:pPr>
              <w:spacing w:after="0" w:line="260"/>
            </w:pPr>
            <w:r>
              <w:rPr>
                <w:sz w:val="19"/>
                <w:szCs w:val="19"/>
              </w:rPr>
              <w:t xml:space="preserve">B. Corregir de aquí en adelante</w:t>
            </w:r>
          </w:p>
        </w:tc>
        <w:tc>
          <w:tcPr>
            <w:tcW w:type="dxa" w:w="4200"/>
            <w:shd w:fill="F5F7F9" w:val="clear"/>
            <w:tcMar>
              <w:top w:type="dxa" w:w="80"/>
              <w:left w:type="dxa" w:w="110"/>
              <w:bottom w:type="dxa" w:w="80"/>
              <w:right w:type="dxa" w:w="110"/>
            </w:tcMar>
          </w:tcPr>
          <w:p>
            <w:pPr>
              <w:spacing w:after="0" w:line="260"/>
            </w:pPr>
            <w:r>
              <w:rPr>
                <w:sz w:val="19"/>
                <w:szCs w:val="19"/>
              </w:rPr>
              <w:t xml:space="preserve">Se reapunta la actividad a su cuenta correcta. Lo ya contabilizado queda donde está; lo nuevo va a la cuenta correcta.</w:t>
            </w:r>
          </w:p>
        </w:tc>
        <w:tc>
          <w:tcPr>
            <w:tcW w:type="dxa" w:w="3060"/>
            <w:shd w:fill="F5F7F9" w:val="clear"/>
            <w:tcMar>
              <w:top w:type="dxa" w:w="80"/>
              <w:left w:type="dxa" w:w="110"/>
              <w:bottom w:type="dxa" w:w="80"/>
              <w:right w:type="dxa" w:w="110"/>
            </w:tcMar>
          </w:tcPr>
          <w:p>
            <w:pPr>
              <w:spacing w:after="0" w:line="260"/>
            </w:pPr>
            <w:r>
              <w:rPr>
                <w:sz w:val="19"/>
                <w:szCs w:val="19"/>
              </w:rPr>
              <w:t xml:space="preserve">Lo habitual. La serie histórica queda partida en la fecha del cambio, y eso se explica en una nota.</w:t>
            </w:r>
          </w:p>
        </w:tc>
      </w:tr>
      <w:tr>
        <w:trPr>
          <w:cantSplit/>
        </w:trPr>
        <w:tc>
          <w:tcPr>
            <w:tcW w:type="dxa" w:w="2100"/>
            <w:tcMar>
              <w:top w:type="dxa" w:w="80"/>
              <w:left w:type="dxa" w:w="110"/>
              <w:bottom w:type="dxa" w:w="80"/>
              <w:right w:type="dxa" w:w="110"/>
            </w:tcMar>
          </w:tcPr>
          <w:p>
            <w:pPr>
              <w:spacing w:after="0" w:line="260"/>
            </w:pPr>
            <w:r>
              <w:rPr>
                <w:sz w:val="19"/>
                <w:szCs w:val="19"/>
              </w:rPr>
              <w:t xml:space="preserve">C. Corregir y reprocesar el histórico</w:t>
            </w:r>
          </w:p>
        </w:tc>
        <w:tc>
          <w:tcPr>
            <w:tcW w:type="dxa" w:w="4200"/>
            <w:tcMar>
              <w:top w:type="dxa" w:w="80"/>
              <w:left w:type="dxa" w:w="110"/>
              <w:bottom w:type="dxa" w:w="80"/>
              <w:right w:type="dxa" w:w="110"/>
            </w:tcMar>
          </w:tcPr>
          <w:p>
            <w:pPr>
              <w:spacing w:after="0" w:line="260"/>
            </w:pPr>
            <w:r>
              <w:rPr>
                <w:sz w:val="19"/>
                <w:szCs w:val="19"/>
              </w:rPr>
              <w:t xml:space="preserve">Además hay que anular y rehacer los comprobantes ya emitidos.</w:t>
            </w:r>
          </w:p>
        </w:tc>
        <w:tc>
          <w:tcPr>
            <w:tcW w:type="dxa" w:w="3060"/>
            <w:tcMar>
              <w:top w:type="dxa" w:w="80"/>
              <w:left w:type="dxa" w:w="110"/>
              <w:bottom w:type="dxa" w:w="80"/>
              <w:right w:type="dxa" w:w="110"/>
            </w:tcMar>
          </w:tcPr>
          <w:p>
            <w:pPr>
              <w:spacing w:after="0" w:line="260"/>
            </w:pPr>
            <w:r>
              <w:rPr>
                <w:sz w:val="19"/>
                <w:szCs w:val="19"/>
              </w:rPr>
              <w:t xml:space="preserve">Sólo si necesita la serie histórica homogénea y los comprobantes involucrados aún no están cerrados contablemente.</w:t>
            </w:r>
          </w:p>
        </w:tc>
      </w:tr>
    </w:tbl>
    <w:p>
      <w:pPr>
        <w:pStyle w:val="Heading3"/>
        <w:spacing w:after="90" w:before="180"/>
      </w:pPr>
      <w:r>
        <w:rPr>
          <w:b/>
          <w:bCs/>
          <w:color w:val="3C9BDD"/>
          <w:sz w:val="21"/>
          <w:szCs w:val="21"/>
        </w:rPr>
        <w:t xml:space="preserve">Lo que necesitamos que nos diga</w:t>
      </w:r>
    </w:p>
    <w:p>
      <w:pPr>
        <w:pStyle w:val="ListParagraph"/>
        <w:numPr>
          <w:ilvl w:val="0"/>
          <w:numId w:val="4"/>
        </w:numPr>
        <w:spacing w:after="90" w:line="276"/>
      </w:pPr>
      <w:r>
        <w:rPr>
          <w:sz w:val="21"/>
          <w:szCs w:val="21"/>
        </w:rPr>
        <w:t xml:space="preserve">Para «Labores en verde»: ¿a qué cuenta analítica debe apuntar?</w:t>
      </w:r>
    </w:p>
    <w:p>
      <w:pPr>
        <w:pStyle w:val="ListParagraph"/>
        <w:numPr>
          <w:ilvl w:val="0"/>
          <w:numId w:val="4"/>
        </w:numPr>
        <w:spacing w:after="90" w:line="276"/>
      </w:pPr>
      <w:r>
        <w:rPr>
          <w:sz w:val="21"/>
          <w:szCs w:val="21"/>
        </w:rPr>
        <w:t xml:space="preserve">Para «Labores generales»: ¿«Administración» es lo correcto, sí o no?</w:t>
      </w:r>
    </w:p>
    <w:p>
      <w:pPr>
        <w:pStyle w:val="ListParagraph"/>
        <w:numPr>
          <w:ilvl w:val="0"/>
          <w:numId w:val="4"/>
        </w:numPr>
        <w:spacing w:after="90" w:line="276"/>
      </w:pPr>
      <w:r>
        <w:rPr>
          <w:sz w:val="21"/>
          <w:szCs w:val="21"/>
        </w:rPr>
        <w:t xml:space="preserve">Si hay que corregir: ¿opción B o C?</w:t>
      </w:r>
    </w:p>
    <w:p>
      <w:pPr>
        <w:pStyle w:val="Heading2"/>
        <w:spacing w:after="120" w:before="260"/>
      </w:pPr>
      <w:r>
        <w:rPr>
          <w:b/>
          <w:bCs/>
          <w:color w:val="1F3A5F"/>
          <w:sz w:val="24"/>
          <w:szCs w:val="24"/>
        </w:rPr>
        <w:t xml:space="preserve">Decisión 2. La temporada T24-25 apunta a la cuenta analítica de T25-26</w:t>
      </w:r>
    </w:p>
    <w:p>
      <w:pPr>
        <w:pStyle w:val="Heading3"/>
        <w:spacing w:after="90" w:before="180"/>
      </w:pPr>
      <w:r>
        <w:rPr>
          <w:b/>
          <w:bCs/>
          <w:color w:val="3C9BDD"/>
          <w:sz w:val="21"/>
          <w:szCs w:val="21"/>
        </w:rPr>
        <w:t xml:space="preserve">Qué encontramos</w:t>
      </w:r>
    </w:p>
    <w:p>
      <w:pPr>
        <w:spacing w:after="140" w:line="276"/>
      </w:pPr>
      <w:r>
        <w:rPr>
          <w:sz w:val="21"/>
          <w:szCs w:val="21"/>
        </w:rPr>
        <w:t xml:space="preserve">En ambos ambientes, la temporada T24-25 tiene enlazada la cuenta analítica de la temporada siguiente (en Desarrollo «T25-26», en Demo «T2526»). La cuenta correcta existe y está disponible en los dos ambientes.</w:t>
      </w:r>
    </w:p>
    <w:p>
      <w:pPr>
        <w:pStyle w:val="Heading3"/>
        <w:spacing w:after="90" w:before="180"/>
      </w:pPr>
      <w:r>
        <w:rPr>
          <w:b/>
          <w:bCs/>
          <w:color w:val="3C9BDD"/>
          <w:sz w:val="21"/>
          <w:szCs w:val="21"/>
        </w:rPr>
        <w:t xml:space="preserve">Por qué importa</w:t>
      </w:r>
    </w:p>
    <w:p>
      <w:pPr>
        <w:spacing w:after="140" w:line="276"/>
      </w:pPr>
      <w:r>
        <w:rPr>
          <w:sz w:val="21"/>
          <w:szCs w:val="21"/>
        </w:rPr>
        <w:t xml:space="preserve">Sólo afecta a lo que se contabilice de aquí en adelante con fecha dentro de la temporada 2024-2025 —por ejemplo, si se rehace un comprobante antiguo—. Ese costo se iría a la temporada equivocada. Los comprobantes ya emitidos no cambian: cada uno se quedó con la distribución que tenía al momento de contabilizarse.</w:t>
      </w:r>
    </w:p>
    <w:p>
      <w:pPr>
        <w:pStyle w:val="Heading3"/>
        <w:spacing w:after="90" w:before="180"/>
      </w:pPr>
      <w:r>
        <w:rPr>
          <w:b/>
          <w:bCs/>
          <w:color w:val="3C9BDD"/>
          <w:sz w:val="21"/>
          <w:szCs w:val="21"/>
        </w:rPr>
        <w:t xml:space="preserve">Por qué no lo cambiamos por nuestra cuenta</w:t>
      </w:r>
    </w:p>
    <w:p>
      <w:pPr>
        <w:spacing w:after="140" w:line="276"/>
      </w:pPr>
      <w:r>
        <w:rPr>
          <w:sz w:val="21"/>
          <w:szCs w:val="21"/>
        </w:rPr>
        <w:t xml:space="preserve">Mismo criterio que la decisión anterior: no reasignamos lo que ya tiene un valor. Existe además una lectura en la que esto es intencional —haber consolidado dos temporadas en una sola cuenta analítica—, y sólo usted sabe si fue así.</w:t>
      </w:r>
    </w:p>
    <w:p>
      <w:pPr>
        <w:pStyle w:val="Heading3"/>
        <w:spacing w:after="90" w:before="180"/>
      </w:pPr>
      <w:r>
        <w:rPr>
          <w:b/>
          <w:bCs/>
          <w:color w:val="3C9BDD"/>
          <w:sz w:val="21"/>
          <w:szCs w:val="21"/>
        </w:rPr>
        <w:t xml:space="preserve">Sus opciones</w:t>
      </w:r>
    </w:p>
    <w:tbl>
      <w:tblPr>
        <w:tblW w:type="dxa" w:w="9360"/>
        <w:tblBorders>
          <w:top w:val="single" w:color="C8D2DC" w:sz="4"/>
          <w:left w:val="single" w:color="C8D2DC" w:sz="4"/>
          <w:bottom w:val="single" w:color="C8D2DC" w:sz="4"/>
          <w:right w:val="single" w:color="C8D2DC" w:sz="4"/>
          <w:insideH w:val="single" w:color="DCE4EC" w:sz="4"/>
          <w:insideV w:val="single" w:color="DCE4EC" w:sz="4"/>
        </w:tblBorders>
      </w:tblPr>
      <w:tblGrid>
        <w:gridCol w:w="3000"/>
        <w:gridCol w:w="6360"/>
      </w:tblGrid>
      <w:tr>
        <w:trPr>
          <w:cantSplit/>
          <w:tblHeader/>
        </w:trPr>
        <w:tc>
          <w:tcPr>
            <w:tcW w:type="dxa" w:w="3000"/>
            <w:shd w:fill="EAF3FB" w:val="clear"/>
            <w:tcMar>
              <w:top w:type="dxa" w:w="80"/>
              <w:left w:type="dxa" w:w="110"/>
              <w:bottom w:type="dxa" w:w="80"/>
              <w:right w:type="dxa" w:w="110"/>
            </w:tcMar>
          </w:tcPr>
          <w:p>
            <w:pPr>
              <w:spacing w:after="0" w:line="260"/>
            </w:pPr>
            <w:r>
              <w:rPr>
                <w:b/>
                <w:bCs/>
                <w:color w:val="1F3A5F"/>
                <w:sz w:val="19"/>
                <w:szCs w:val="19"/>
              </w:rPr>
              <w:t xml:space="preserve">Opción</w:t>
            </w:r>
          </w:p>
        </w:tc>
        <w:tc>
          <w:tcPr>
            <w:tcW w:type="dxa" w:w="6360"/>
            <w:shd w:fill="EAF3FB" w:val="clear"/>
            <w:tcMar>
              <w:top w:type="dxa" w:w="80"/>
              <w:left w:type="dxa" w:w="110"/>
              <w:bottom w:type="dxa" w:w="80"/>
              <w:right w:type="dxa" w:w="110"/>
            </w:tcMar>
          </w:tcPr>
          <w:p>
            <w:pPr>
              <w:spacing w:after="0" w:line="260"/>
            </w:pPr>
            <w:r>
              <w:rPr>
                <w:b/>
                <w:bCs/>
                <w:color w:val="1F3A5F"/>
                <w:sz w:val="19"/>
                <w:szCs w:val="19"/>
              </w:rPr>
              <w:t xml:space="preserve">Qué implica</w:t>
            </w:r>
          </w:p>
        </w:tc>
      </w:tr>
      <w:tr>
        <w:trPr>
          <w:cantSplit/>
        </w:trPr>
        <w:tc>
          <w:tcPr>
            <w:tcW w:type="dxa" w:w="3000"/>
            <w:tcMar>
              <w:top w:type="dxa" w:w="80"/>
              <w:left w:type="dxa" w:w="110"/>
              <w:bottom w:type="dxa" w:w="80"/>
              <w:right w:type="dxa" w:w="110"/>
            </w:tcMar>
          </w:tcPr>
          <w:p>
            <w:pPr>
              <w:spacing w:after="0" w:line="260"/>
            </w:pPr>
            <w:r>
              <w:rPr>
                <w:sz w:val="19"/>
                <w:szCs w:val="19"/>
              </w:rPr>
              <w:t xml:space="preserve">A. Dejarlo</w:t>
            </w:r>
          </w:p>
        </w:tc>
        <w:tc>
          <w:tcPr>
            <w:tcW w:type="dxa" w:w="6360"/>
            <w:tcMar>
              <w:top w:type="dxa" w:w="80"/>
              <w:left w:type="dxa" w:w="110"/>
              <w:bottom w:type="dxa" w:w="80"/>
              <w:right w:type="dxa" w:w="110"/>
            </w:tcMar>
          </w:tcPr>
          <w:p>
            <w:pPr>
              <w:spacing w:after="0" w:line="260"/>
            </w:pPr>
            <w:r>
              <w:rPr>
                <w:sz w:val="19"/>
                <w:szCs w:val="19"/>
              </w:rPr>
              <w:t xml:space="preserve">Correcto si la consolidación de ambas temporadas en una cuenta fue deliberada.</w:t>
            </w:r>
          </w:p>
        </w:tc>
      </w:tr>
      <w:tr>
        <w:trPr>
          <w:cantSplit/>
        </w:trPr>
        <w:tc>
          <w:tcPr>
            <w:tcW w:type="dxa" w:w="3000"/>
            <w:shd w:fill="F5F7F9" w:val="clear"/>
            <w:tcMar>
              <w:top w:type="dxa" w:w="80"/>
              <w:left w:type="dxa" w:w="110"/>
              <w:bottom w:type="dxa" w:w="80"/>
              <w:right w:type="dxa" w:w="110"/>
            </w:tcMar>
          </w:tcPr>
          <w:p>
            <w:pPr>
              <w:spacing w:after="0" w:line="260"/>
            </w:pPr>
            <w:r>
              <w:rPr>
                <w:sz w:val="19"/>
                <w:szCs w:val="19"/>
              </w:rPr>
              <w:t xml:space="preserve">B. Reapuntar T24-25 a su propia cuenta</w:t>
            </w:r>
          </w:p>
        </w:tc>
        <w:tc>
          <w:tcPr>
            <w:tcW w:type="dxa" w:w="6360"/>
            <w:shd w:fill="F5F7F9" w:val="clear"/>
            <w:tcMar>
              <w:top w:type="dxa" w:w="80"/>
              <w:left w:type="dxa" w:w="110"/>
              <w:bottom w:type="dxa" w:w="80"/>
              <w:right w:type="dxa" w:w="110"/>
            </w:tcMar>
          </w:tcPr>
          <w:p>
            <w:pPr>
              <w:spacing w:after="0" w:line="260"/>
            </w:pPr>
            <w:r>
              <w:rPr>
                <w:sz w:val="19"/>
                <w:szCs w:val="19"/>
              </w:rPr>
              <w:t xml:space="preserve">Cambio de un solo campo, sin efecto sobre lo ya contabilizado. Es la corrección obvia si fue un error de carga.</w:t>
            </w:r>
          </w:p>
        </w:tc>
      </w:tr>
    </w:tbl>
    <w:p>
      <w:pPr>
        <w:pStyle w:val="Heading3"/>
        <w:spacing w:after="90" w:before="180"/>
      </w:pPr>
      <w:r>
        <w:rPr>
          <w:b/>
          <w:bCs/>
          <w:color w:val="3C9BDD"/>
          <w:sz w:val="21"/>
          <w:szCs w:val="21"/>
        </w:rPr>
        <w:t xml:space="preserve">Lo que necesitamos que nos diga</w:t>
      </w:r>
    </w:p>
    <w:p>
      <w:pPr>
        <w:pStyle w:val="ListParagraph"/>
        <w:numPr>
          <w:ilvl w:val="0"/>
          <w:numId w:val="4"/>
        </w:numPr>
        <w:spacing w:after="90" w:line="276"/>
      </w:pPr>
      <w:r>
        <w:rPr>
          <w:sz w:val="21"/>
          <w:szCs w:val="21"/>
        </w:rPr>
        <w:t xml:space="preserve">¿La temporada T24-25 debe tener su propia cuenta analítica, o comparte a propósito la de T25-26?</w:t>
      </w:r>
    </w:p>
    <w:p>
      <w:r>
        <w:br w:type="page"/>
      </w:r>
    </w:p>
    <w:p>
      <w:pPr>
        <w:pStyle w:val="Heading2"/>
        <w:spacing w:after="120" w:before="260"/>
      </w:pPr>
      <w:r>
        <w:rPr>
          <w:b/>
          <w:bCs/>
          <w:color w:val="1F3A5F"/>
          <w:sz w:val="24"/>
          <w:szCs w:val="24"/>
        </w:rPr>
        <w:t xml:space="preserve">Decisión 3. 26 líneas antiguas tienen un «Centro de costos» de otro plan analítico</w:t>
      </w:r>
    </w:p>
    <w:p>
      <w:pPr>
        <w:pStyle w:val="Heading3"/>
        <w:spacing w:after="90" w:before="180"/>
      </w:pPr>
      <w:r>
        <w:rPr>
          <w:b/>
          <w:bCs/>
          <w:color w:val="3C9BDD"/>
          <w:sz w:val="21"/>
          <w:szCs w:val="21"/>
        </w:rPr>
        <w:t xml:space="preserve">Qué encontramos</w:t>
      </w:r>
    </w:p>
    <w:p>
      <w:pPr>
        <w:spacing w:after="140" w:line="276"/>
      </w:pPr>
      <w:r>
        <w:rPr>
          <w:sz w:val="21"/>
          <w:szCs w:val="21"/>
        </w:rPr>
        <w:t xml:space="preserve">En Desarrollo, líneas de detalle de horas máquina cargadas hace tiempo: 22 tienen en el campo «Centro de costos» una cuenta del plan Project, y 4 una cuenta del plan Temporada. Ninguna es del plan Centro de costos, que es el que corresponde.</w:t>
      </w:r>
    </w:p>
    <w:p>
      <w:pPr>
        <w:pStyle w:val="Heading3"/>
        <w:spacing w:after="90" w:before="180"/>
      </w:pPr>
      <w:r>
        <w:rPr>
          <w:b/>
          <w:bCs/>
          <w:color w:val="3C9BDD"/>
          <w:sz w:val="21"/>
          <w:szCs w:val="21"/>
        </w:rPr>
        <w:t xml:space="preserve">Por qué importa</w:t>
      </w:r>
    </w:p>
    <w:p>
      <w:pPr>
        <w:spacing w:after="140" w:line="276"/>
      </w:pPr>
      <w:r>
        <w:rPr>
          <w:sz w:val="21"/>
          <w:szCs w:val="21"/>
        </w:rPr>
        <w:t xml:space="preserve">Odoo no admite dos cuentas del mismo plan en una misma distribución analítica. En las 4 líneas del plan Temporada eso choca de frente con la temporada del encabezado, y una de las dos se perdía sin aviso. Ya no: ahora gana la Temporada del encabezado y la cuenta repetida se descarta de forma predecible, de modo que la contabilización no se rompe. Pero el centro de costos de esas líneas sigue siendo el que está mal cargado.</w:t>
      </w:r>
    </w:p>
    <w:p>
      <w:pPr>
        <w:pStyle w:val="Heading3"/>
        <w:spacing w:after="90" w:before="180"/>
      </w:pPr>
      <w:r>
        <w:rPr>
          <w:b/>
          <w:bCs/>
          <w:color w:val="3C9BDD"/>
          <w:sz w:val="21"/>
          <w:szCs w:val="21"/>
        </w:rPr>
        <w:t xml:space="preserve">Por qué no lo cambiamos por nuestra cuenta</w:t>
      </w:r>
    </w:p>
    <w:p>
      <w:pPr>
        <w:spacing w:after="140" w:line="276"/>
      </w:pPr>
      <w:r>
        <w:rPr>
          <w:sz w:val="21"/>
          <w:szCs w:val="21"/>
        </w:rPr>
        <w:t xml:space="preserve">Corregirlas exige saber a qué centro de costos correspondía cada labor, y eso está en su operación, no en el sistema. Adivinarlo sería inventar información contable.</w:t>
      </w:r>
    </w:p>
    <w:p>
      <w:pPr>
        <w:pStyle w:val="Heading3"/>
        <w:spacing w:after="90" w:before="180"/>
      </w:pPr>
      <w:r>
        <w:rPr>
          <w:b/>
          <w:bCs/>
          <w:color w:val="3C9BDD"/>
          <w:sz w:val="21"/>
          <w:szCs w:val="21"/>
        </w:rPr>
        <w:t xml:space="preserve">Sus opciones</w:t>
      </w:r>
    </w:p>
    <w:tbl>
      <w:tblPr>
        <w:tblW w:type="dxa" w:w="9360"/>
        <w:tblBorders>
          <w:top w:val="single" w:color="C8D2DC" w:sz="4"/>
          <w:left w:val="single" w:color="C8D2DC" w:sz="4"/>
          <w:bottom w:val="single" w:color="C8D2DC" w:sz="4"/>
          <w:right w:val="single" w:color="C8D2DC" w:sz="4"/>
          <w:insideH w:val="single" w:color="DCE4EC" w:sz="4"/>
          <w:insideV w:val="single" w:color="DCE4EC" w:sz="4"/>
        </w:tblBorders>
      </w:tblPr>
      <w:tblGrid>
        <w:gridCol w:w="3000"/>
        <w:gridCol w:w="6360"/>
      </w:tblGrid>
      <w:tr>
        <w:trPr>
          <w:cantSplit/>
          <w:tblHeader/>
        </w:trPr>
        <w:tc>
          <w:tcPr>
            <w:tcW w:type="dxa" w:w="3000"/>
            <w:shd w:fill="EAF3FB" w:val="clear"/>
            <w:tcMar>
              <w:top w:type="dxa" w:w="80"/>
              <w:left w:type="dxa" w:w="110"/>
              <w:bottom w:type="dxa" w:w="80"/>
              <w:right w:type="dxa" w:w="110"/>
            </w:tcMar>
          </w:tcPr>
          <w:p>
            <w:pPr>
              <w:spacing w:after="0" w:line="260"/>
            </w:pPr>
            <w:r>
              <w:rPr>
                <w:b/>
                <w:bCs/>
                <w:color w:val="1F3A5F"/>
                <w:sz w:val="19"/>
                <w:szCs w:val="19"/>
              </w:rPr>
              <w:t xml:space="preserve">Opción</w:t>
            </w:r>
          </w:p>
        </w:tc>
        <w:tc>
          <w:tcPr>
            <w:tcW w:type="dxa" w:w="6360"/>
            <w:shd w:fill="EAF3FB" w:val="clear"/>
            <w:tcMar>
              <w:top w:type="dxa" w:w="80"/>
              <w:left w:type="dxa" w:w="110"/>
              <w:bottom w:type="dxa" w:w="80"/>
              <w:right w:type="dxa" w:w="110"/>
            </w:tcMar>
          </w:tcPr>
          <w:p>
            <w:pPr>
              <w:spacing w:after="0" w:line="260"/>
            </w:pPr>
            <w:r>
              <w:rPr>
                <w:b/>
                <w:bCs/>
                <w:color w:val="1F3A5F"/>
                <w:sz w:val="19"/>
                <w:szCs w:val="19"/>
              </w:rPr>
              <w:t xml:space="preserve">Qué implica</w:t>
            </w:r>
          </w:p>
        </w:tc>
      </w:tr>
      <w:tr>
        <w:trPr>
          <w:cantSplit/>
        </w:trPr>
        <w:tc>
          <w:tcPr>
            <w:tcW w:type="dxa" w:w="3000"/>
            <w:tcMar>
              <w:top w:type="dxa" w:w="80"/>
              <w:left w:type="dxa" w:w="110"/>
              <w:bottom w:type="dxa" w:w="80"/>
              <w:right w:type="dxa" w:w="110"/>
            </w:tcMar>
          </w:tcPr>
          <w:p>
            <w:pPr>
              <w:spacing w:after="0" w:line="260"/>
            </w:pPr>
            <w:r>
              <w:rPr>
                <w:sz w:val="19"/>
                <w:szCs w:val="19"/>
              </w:rPr>
              <w:t xml:space="preserve">A. No hacer nada</w:t>
            </w:r>
          </w:p>
        </w:tc>
        <w:tc>
          <w:tcPr>
            <w:tcW w:type="dxa" w:w="6360"/>
            <w:tcMar>
              <w:top w:type="dxa" w:w="80"/>
              <w:left w:type="dxa" w:w="110"/>
              <w:bottom w:type="dxa" w:w="80"/>
              <w:right w:type="dxa" w:w="110"/>
            </w:tcMar>
          </w:tcPr>
          <w:p>
            <w:pPr>
              <w:spacing w:after="0" w:line="260"/>
            </w:pPr>
            <w:r>
              <w:rPr>
                <w:sz w:val="19"/>
                <w:szCs w:val="19"/>
              </w:rPr>
              <w:t xml:space="preserve">Válido si esas líneas son datos de prueba de la base de laboratorio, o si son registros históricos que nunca se van a volver a contabilizar.</w:t>
            </w:r>
          </w:p>
        </w:tc>
      </w:tr>
      <w:tr>
        <w:trPr>
          <w:cantSplit/>
        </w:trPr>
        <w:tc>
          <w:tcPr>
            <w:tcW w:type="dxa" w:w="3000"/>
            <w:shd w:fill="F5F7F9" w:val="clear"/>
            <w:tcMar>
              <w:top w:type="dxa" w:w="80"/>
              <w:left w:type="dxa" w:w="110"/>
              <w:bottom w:type="dxa" w:w="80"/>
              <w:right w:type="dxa" w:w="110"/>
            </w:tcMar>
          </w:tcPr>
          <w:p>
            <w:pPr>
              <w:spacing w:after="0" w:line="260"/>
            </w:pPr>
            <w:r>
              <w:rPr>
                <w:sz w:val="19"/>
                <w:szCs w:val="19"/>
              </w:rPr>
              <w:t xml:space="preserve">B. Corregirlas</w:t>
            </w:r>
          </w:p>
        </w:tc>
        <w:tc>
          <w:tcPr>
            <w:tcW w:type="dxa" w:w="6360"/>
            <w:shd w:fill="F5F7F9" w:val="clear"/>
            <w:tcMar>
              <w:top w:type="dxa" w:w="80"/>
              <w:left w:type="dxa" w:w="110"/>
              <w:bottom w:type="dxa" w:w="80"/>
              <w:right w:type="dxa" w:w="110"/>
            </w:tcMar>
          </w:tcPr>
          <w:p>
            <w:pPr>
              <w:spacing w:after="0" w:line="260"/>
            </w:pPr>
            <w:r>
              <w:rPr>
                <w:sz w:val="19"/>
                <w:szCs w:val="19"/>
              </w:rPr>
              <w:t xml:space="preserve">Le entregamos el listado de los 26 registros con su fecha, máquina y labor, y usted nos indica el centro de costos que corresponde a cada uno.</w:t>
            </w:r>
          </w:p>
        </w:tc>
      </w:tr>
    </w:tbl>
    <w:p>
      <w:pPr>
        <w:pStyle w:val="Heading3"/>
        <w:spacing w:after="90" w:before="180"/>
      </w:pPr>
      <w:r>
        <w:rPr>
          <w:b/>
          <w:bCs/>
          <w:color w:val="3C9BDD"/>
          <w:sz w:val="21"/>
          <w:szCs w:val="21"/>
        </w:rPr>
        <w:t xml:space="preserve">Lo que necesitamos que nos diga</w:t>
      </w:r>
    </w:p>
    <w:p>
      <w:pPr>
        <w:pStyle w:val="ListParagraph"/>
        <w:numPr>
          <w:ilvl w:val="0"/>
          <w:numId w:val="4"/>
        </w:numPr>
        <w:spacing w:after="90" w:line="276"/>
      </w:pPr>
      <w:r>
        <w:rPr>
          <w:sz w:val="21"/>
          <w:szCs w:val="21"/>
        </w:rPr>
        <w:t xml:space="preserve">¿Esas líneas antiguas se van a contabilizar alguna vez, o son historia cerrada?</w:t>
      </w:r>
    </w:p>
    <w:p>
      <w:pPr>
        <w:pStyle w:val="ListParagraph"/>
        <w:numPr>
          <w:ilvl w:val="0"/>
          <w:numId w:val="4"/>
        </w:numPr>
        <w:spacing w:after="90" w:line="276"/>
      </w:pPr>
      <w:r>
        <w:rPr>
          <w:sz w:val="21"/>
          <w:szCs w:val="21"/>
        </w:rPr>
        <w:t xml:space="preserve">Si hay que corregirlas, le mandamos el listado para que nos indique el centro de costos de cada una.</w:t>
      </w:r>
    </w:p>
    <w:p>
      <w:pPr>
        <w:pStyle w:val="Heading2"/>
        <w:spacing w:after="120" w:before="260"/>
      </w:pPr>
      <w:r>
        <w:rPr>
          <w:b/>
          <w:bCs/>
          <w:color w:val="1F3A5F"/>
          <w:sz w:val="24"/>
          <w:szCs w:val="24"/>
        </w:rPr>
        <w:t xml:space="preserve">Decisión 4. El registro OT 23 conserva la distribución anterior</w:t>
      </w:r>
    </w:p>
    <w:p>
      <w:pPr>
        <w:pStyle w:val="Heading3"/>
        <w:spacing w:after="90" w:before="180"/>
      </w:pPr>
      <w:r>
        <w:rPr>
          <w:b/>
          <w:bCs/>
          <w:color w:val="3C9BDD"/>
          <w:sz w:val="21"/>
          <w:szCs w:val="21"/>
        </w:rPr>
        <w:t xml:space="preserve">Qué encontramos</w:t>
      </w:r>
    </w:p>
    <w:p>
      <w:pPr>
        <w:spacing w:after="140" w:line="276"/>
      </w:pPr>
      <w:r>
        <w:rPr>
          <w:sz w:val="21"/>
          <w:szCs w:val="21"/>
        </w:rPr>
        <w:t xml:space="preserve">El registro que aparece en su documento de correcciones —Número OT 23, del 29/08/2026— vive en Desarrollo y ya está contabilizado con la distribución antigua. Su comprobante contable sigue en estado borrador, es decir, no llegó a los libros.</w:t>
      </w:r>
    </w:p>
    <w:p>
      <w:pPr>
        <w:pStyle w:val="Heading3"/>
        <w:spacing w:after="90" w:before="180"/>
      </w:pPr>
      <w:r>
        <w:rPr>
          <w:b/>
          <w:bCs/>
          <w:color w:val="3C9BDD"/>
          <w:sz w:val="21"/>
          <w:szCs w:val="21"/>
        </w:rPr>
        <w:t xml:space="preserve">Por qué importa</w:t>
      </w:r>
    </w:p>
    <w:p>
      <w:pPr>
        <w:spacing w:after="140" w:line="276"/>
      </w:pPr>
      <w:r>
        <w:rPr>
          <w:sz w:val="21"/>
          <w:szCs w:val="21"/>
        </w:rPr>
        <w:t xml:space="preserve">Es el registro al que usted va a entrar primero para ver si la corrección quedó. Y va a ver la distribución vieja, porque un comprobante ya emitido conserva la analítica que tenía cuando se generó: la corrección aplica a lo que se contabilice de aquí en adelante, no reescribe lo anterior.</w:t>
      </w:r>
    </w:p>
    <w:p>
      <w:pPr>
        <w:pStyle w:val="Heading3"/>
        <w:spacing w:after="90" w:before="180"/>
      </w:pPr>
      <w:r>
        <w:rPr>
          <w:b/>
          <w:bCs/>
          <w:color w:val="3C9BDD"/>
          <w:sz w:val="21"/>
          <w:szCs w:val="21"/>
        </w:rPr>
        <w:t xml:space="preserve">Por qué no lo cambiamos por nuestra cuenta</w:t>
      </w:r>
    </w:p>
    <w:p>
      <w:pPr>
        <w:spacing w:after="140" w:line="276"/>
      </w:pPr>
      <w:r>
        <w:rPr>
          <w:sz w:val="21"/>
          <w:szCs w:val="21"/>
        </w:rPr>
        <w:t xml:space="preserve">Rehacerlo significa anular el comprobante contable y volver a contabilizar. Aunque esté en borrador y el riesgo sea bajo, es una operación sobre un asiento contable existente y esa decisión es suya, no nuestra.</w:t>
      </w:r>
    </w:p>
    <w:p>
      <w:pPr>
        <w:pStyle w:val="Heading3"/>
        <w:spacing w:after="90" w:before="180"/>
      </w:pPr>
      <w:r>
        <w:rPr>
          <w:b/>
          <w:bCs/>
          <w:color w:val="3C9BDD"/>
          <w:sz w:val="21"/>
          <w:szCs w:val="21"/>
        </w:rPr>
        <w:t xml:space="preserve">Sus opciones</w:t>
      </w:r>
    </w:p>
    <w:tbl>
      <w:tblPr>
        <w:tblW w:type="dxa" w:w="9360"/>
        <w:tblBorders>
          <w:top w:val="single" w:color="C8D2DC" w:sz="4"/>
          <w:left w:val="single" w:color="C8D2DC" w:sz="4"/>
          <w:bottom w:val="single" w:color="C8D2DC" w:sz="4"/>
          <w:right w:val="single" w:color="C8D2DC" w:sz="4"/>
          <w:insideH w:val="single" w:color="DCE4EC" w:sz="4"/>
          <w:insideV w:val="single" w:color="DCE4EC" w:sz="4"/>
        </w:tblBorders>
      </w:tblPr>
      <w:tblGrid>
        <w:gridCol w:w="3000"/>
        <w:gridCol w:w="6360"/>
      </w:tblGrid>
      <w:tr>
        <w:trPr>
          <w:cantSplit/>
          <w:tblHeader/>
        </w:trPr>
        <w:tc>
          <w:tcPr>
            <w:tcW w:type="dxa" w:w="3000"/>
            <w:shd w:fill="EAF3FB" w:val="clear"/>
            <w:tcMar>
              <w:top w:type="dxa" w:w="80"/>
              <w:left w:type="dxa" w:w="110"/>
              <w:bottom w:type="dxa" w:w="80"/>
              <w:right w:type="dxa" w:w="110"/>
            </w:tcMar>
          </w:tcPr>
          <w:p>
            <w:pPr>
              <w:spacing w:after="0" w:line="260"/>
            </w:pPr>
            <w:r>
              <w:rPr>
                <w:b/>
                <w:bCs/>
                <w:color w:val="1F3A5F"/>
                <w:sz w:val="19"/>
                <w:szCs w:val="19"/>
              </w:rPr>
              <w:t xml:space="preserve">Opción</w:t>
            </w:r>
          </w:p>
        </w:tc>
        <w:tc>
          <w:tcPr>
            <w:tcW w:type="dxa" w:w="6360"/>
            <w:shd w:fill="EAF3FB" w:val="clear"/>
            <w:tcMar>
              <w:top w:type="dxa" w:w="80"/>
              <w:left w:type="dxa" w:w="110"/>
              <w:bottom w:type="dxa" w:w="80"/>
              <w:right w:type="dxa" w:w="110"/>
            </w:tcMar>
          </w:tcPr>
          <w:p>
            <w:pPr>
              <w:spacing w:after="0" w:line="260"/>
            </w:pPr>
            <w:r>
              <w:rPr>
                <w:b/>
                <w:bCs/>
                <w:color w:val="1F3A5F"/>
                <w:sz w:val="19"/>
                <w:szCs w:val="19"/>
              </w:rPr>
              <w:t xml:space="preserve">Qué implica</w:t>
            </w:r>
          </w:p>
        </w:tc>
      </w:tr>
      <w:tr>
        <w:trPr>
          <w:cantSplit/>
        </w:trPr>
        <w:tc>
          <w:tcPr>
            <w:tcW w:type="dxa" w:w="3000"/>
            <w:tcMar>
              <w:top w:type="dxa" w:w="80"/>
              <w:left w:type="dxa" w:w="110"/>
              <w:bottom w:type="dxa" w:w="80"/>
              <w:right w:type="dxa" w:w="110"/>
            </w:tcMar>
          </w:tcPr>
          <w:p>
            <w:pPr>
              <w:spacing w:after="0" w:line="260"/>
            </w:pPr>
            <w:r>
              <w:rPr>
                <w:sz w:val="19"/>
                <w:szCs w:val="19"/>
              </w:rPr>
              <w:t xml:space="preserve">A. Lo rehacemos nosotros</w:t>
            </w:r>
          </w:p>
        </w:tc>
        <w:tc>
          <w:tcPr>
            <w:tcW w:type="dxa" w:w="6360"/>
            <w:tcMar>
              <w:top w:type="dxa" w:w="80"/>
              <w:left w:type="dxa" w:w="110"/>
              <w:bottom w:type="dxa" w:w="80"/>
              <w:right w:type="dxa" w:w="110"/>
            </w:tcMar>
          </w:tcPr>
          <w:p>
            <w:pPr>
              <w:spacing w:after="0" w:line="260"/>
            </w:pPr>
            <w:r>
              <w:rPr>
                <w:sz w:val="19"/>
                <w:szCs w:val="19"/>
              </w:rPr>
              <w:t xml:space="preserve">Anulamos el comprobante en borrador y volvemos a contabilizar OT 23. Queda con la distribución correcta y usted lo ve sobre el mismo registro de su documento. Toma minutos.</w:t>
            </w:r>
          </w:p>
        </w:tc>
      </w:tr>
      <w:tr>
        <w:trPr>
          <w:cantSplit/>
        </w:trPr>
        <w:tc>
          <w:tcPr>
            <w:tcW w:type="dxa" w:w="3000"/>
            <w:shd w:fill="F5F7F9" w:val="clear"/>
            <w:tcMar>
              <w:top w:type="dxa" w:w="80"/>
              <w:left w:type="dxa" w:w="110"/>
              <w:bottom w:type="dxa" w:w="80"/>
              <w:right w:type="dxa" w:w="110"/>
            </w:tcMar>
          </w:tcPr>
          <w:p>
            <w:pPr>
              <w:spacing w:after="0" w:line="260"/>
            </w:pPr>
            <w:r>
              <w:rPr>
                <w:sz w:val="19"/>
                <w:szCs w:val="19"/>
              </w:rPr>
              <w:t xml:space="preserve">B. Lo rehace usted</w:t>
            </w:r>
          </w:p>
        </w:tc>
        <w:tc>
          <w:tcPr>
            <w:tcW w:type="dxa" w:w="6360"/>
            <w:shd w:fill="F5F7F9" w:val="clear"/>
            <w:tcMar>
              <w:top w:type="dxa" w:w="80"/>
              <w:left w:type="dxa" w:w="110"/>
              <w:bottom w:type="dxa" w:w="80"/>
              <w:right w:type="dxa" w:w="110"/>
            </w:tcMar>
          </w:tcPr>
          <w:p>
            <w:pPr>
              <w:spacing w:after="0" w:line="260"/>
            </w:pPr>
            <w:r>
              <w:rPr>
                <w:sz w:val="19"/>
                <w:szCs w:val="19"/>
              </w:rPr>
              <w:t xml:space="preserve">Mismo resultado, desde la pantalla, y de paso comprueba el flujo completo con sus propias manos.</w:t>
            </w:r>
          </w:p>
        </w:tc>
      </w:tr>
      <w:tr>
        <w:trPr>
          <w:cantSplit/>
        </w:trPr>
        <w:tc>
          <w:tcPr>
            <w:tcW w:type="dxa" w:w="3000"/>
            <w:tcMar>
              <w:top w:type="dxa" w:w="80"/>
              <w:left w:type="dxa" w:w="110"/>
              <w:bottom w:type="dxa" w:w="80"/>
              <w:right w:type="dxa" w:w="110"/>
            </w:tcMar>
          </w:tcPr>
          <w:p>
            <w:pPr>
              <w:spacing w:after="0" w:line="260"/>
            </w:pPr>
            <w:r>
              <w:rPr>
                <w:sz w:val="19"/>
                <w:szCs w:val="19"/>
              </w:rPr>
              <w:t xml:space="preserve">C. No tocar OT 23</w:t>
            </w:r>
          </w:p>
        </w:tc>
        <w:tc>
          <w:tcPr>
            <w:tcW w:type="dxa" w:w="6360"/>
            <w:tcMar>
              <w:top w:type="dxa" w:w="80"/>
              <w:left w:type="dxa" w:w="110"/>
              <w:bottom w:type="dxa" w:w="80"/>
              <w:right w:type="dxa" w:w="110"/>
            </w:tcMar>
          </w:tcPr>
          <w:p>
            <w:pPr>
              <w:spacing w:after="0" w:line="260"/>
            </w:pPr>
            <w:r>
              <w:rPr>
                <w:sz w:val="19"/>
                <w:szCs w:val="19"/>
              </w:rPr>
              <w:t xml:space="preserve">Se deja como testimonio del problema y se verifica con un registro nuevo, como se describe en la sección 6.</w:t>
            </w:r>
          </w:p>
        </w:tc>
      </w:tr>
    </w:tbl>
    <w:p>
      <w:pPr>
        <w:pStyle w:val="Heading3"/>
        <w:spacing w:after="90" w:before="180"/>
      </w:pPr>
      <w:r>
        <w:rPr>
          <w:b/>
          <w:bCs/>
          <w:color w:val="3C9BDD"/>
          <w:sz w:val="21"/>
          <w:szCs w:val="21"/>
        </w:rPr>
        <w:t xml:space="preserve">Lo que necesitamos que nos diga</w:t>
      </w:r>
    </w:p>
    <w:p>
      <w:pPr>
        <w:pStyle w:val="ListParagraph"/>
        <w:numPr>
          <w:ilvl w:val="0"/>
          <w:numId w:val="4"/>
        </w:numPr>
        <w:spacing w:after="90" w:line="276"/>
      </w:pPr>
      <w:r>
        <w:rPr>
          <w:sz w:val="21"/>
          <w:szCs w:val="21"/>
        </w:rPr>
        <w:t xml:space="preserve">¿A, B o C? Nuestra recomendación es A o B: el comprobante está en borrador y no afecta sus libros.</w:t>
      </w:r>
    </w:p>
    <w:p>
      <w:pPr>
        <w:pStyle w:val="Heading1"/>
        <w:pBdr>
          <w:bottom w:val="single" w:color="3C9BDD" w:sz="8" w:space="6"/>
        </w:pBdr>
        <w:spacing w:after="180" w:before="360"/>
      </w:pPr>
      <w:r>
        <w:rPr>
          <w:b/>
          <w:bCs/>
          <w:color w:val="1F3A5F"/>
          <w:sz w:val="30"/>
          <w:szCs w:val="30"/>
        </w:rPr>
        <w:t xml:space="preserve">8. Qué no se tocó</w:t>
      </w:r>
    </w:p>
    <w:p>
      <w:pPr>
        <w:pStyle w:val="ListParagraph"/>
        <w:numPr>
          <w:ilvl w:val="0"/>
          <w:numId w:val="4"/>
        </w:numPr>
        <w:spacing w:after="90" w:line="276"/>
      </w:pPr>
      <w:r>
        <w:rPr>
          <w:sz w:val="21"/>
          <w:szCs w:val="21"/>
        </w:rPr>
        <w:t xml:space="preserve">Producción (stepsapp.cl): ni el código en uso ni la base. El módulo de Maquinaria está desinstalado allí.</w:t>
      </w:r>
    </w:p>
    <w:p>
      <w:pPr>
        <w:pStyle w:val="ListParagraph"/>
        <w:numPr>
          <w:ilvl w:val="0"/>
          <w:numId w:val="4"/>
        </w:numPr>
        <w:spacing w:after="90" w:line="276"/>
      </w:pPr>
      <w:r>
        <w:rPr>
          <w:sz w:val="21"/>
          <w:szCs w:val="21"/>
        </w:rPr>
        <w:t xml:space="preserve">Ningún comprobante contable existente, en ningún ambiente.</w:t>
      </w:r>
    </w:p>
    <w:p>
      <w:pPr>
        <w:pStyle w:val="ListParagraph"/>
        <w:numPr>
          <w:ilvl w:val="0"/>
          <w:numId w:val="4"/>
        </w:numPr>
        <w:spacing w:after="90" w:line="276"/>
      </w:pPr>
      <w:r>
        <w:rPr>
          <w:sz w:val="21"/>
          <w:szCs w:val="21"/>
        </w:rPr>
        <w:t xml:space="preserve">Ningún maestro que ya tuviera su cuenta analítica configurada, aunque el nombre no calzara. Sólo se completó lo que estaba vacío.</w:t>
      </w:r>
    </w:p>
    <w:p>
      <w:pPr>
        <w:pStyle w:val="ListParagraph"/>
        <w:numPr>
          <w:ilvl w:val="0"/>
          <w:numId w:val="4"/>
        </w:numPr>
        <w:spacing w:after="90" w:line="276"/>
      </w:pPr>
      <w:r>
        <w:rPr>
          <w:sz w:val="21"/>
          <w:szCs w:val="21"/>
        </w:rPr>
        <w:t xml:space="preserve">Ningún dato de negocio: la verificación se hizo en una transacción revertida y las pruebas en una base desechable que se eliminó.</w:t>
      </w:r>
    </w:p>
    <w:p>
      <w:pPr>
        <w:pStyle w:val="ListParagraph"/>
        <w:numPr>
          <w:ilvl w:val="0"/>
          <w:numId w:val="4"/>
        </w:numPr>
        <w:spacing w:after="90" w:line="276"/>
      </w:pPr>
      <w:r>
        <w:rPr>
          <w:sz w:val="21"/>
          <w:szCs w:val="21"/>
        </w:rPr>
        <w:t xml:space="preserve">El resto del módulo de Maquinaria: pantallas, costeo, catálogo de conceptos y numeración de OT quedaron exactamente como estaban.</w:t>
      </w:r>
    </w:p>
    <w:p>
      <w:pPr>
        <w:pStyle w:val="Heading1"/>
        <w:pBdr>
          <w:bottom w:val="single" w:color="3C9BDD" w:sz="8" w:space="6"/>
        </w:pBdr>
        <w:spacing w:after="180" w:before="360"/>
      </w:pPr>
      <w:r>
        <w:rPr>
          <w:b/>
          <w:bCs/>
          <w:color w:val="1F3A5F"/>
          <w:sz w:val="30"/>
          <w:szCs w:val="30"/>
        </w:rPr>
        <w:t xml:space="preserve">9. Plantilla para responder</w:t>
      </w:r>
    </w:p>
    <w:p>
      <w:pPr>
        <w:spacing w:after="140" w:line="276"/>
      </w:pPr>
      <w:r>
        <w:rPr>
          <w:sz w:val="21"/>
          <w:szCs w:val="21"/>
        </w:rPr>
        <w:t xml:space="preserve">Con esto basta; no hace falta más detalle.</w:t>
      </w:r>
    </w:p>
    <w:p>
      <w:pPr>
        <w:spacing w:after="60"/>
      </w:pPr>
    </w:p>
    <w:tbl>
      <w:tblPr>
        <w:tblW w:type="dxa" w:w="9360"/>
        <w:tblBorders>
          <w:top w:val="single" w:color="C8D2DC" w:sz="4"/>
          <w:left w:val="single" w:color="C8D2DC" w:sz="4"/>
          <w:bottom w:val="single" w:color="C8D2DC" w:sz="4"/>
          <w:right w:val="single" w:color="C8D2DC" w:sz="4"/>
          <w:insideH w:val="single" w:color="DCE4EC" w:sz="4"/>
          <w:insideV w:val="single" w:color="DCE4EC" w:sz="4"/>
        </w:tblBorders>
      </w:tblPr>
      <w:tblGrid>
        <w:gridCol w:w="600"/>
        <w:gridCol w:w="5160"/>
        <w:gridCol w:w="3600"/>
      </w:tblGrid>
      <w:tr>
        <w:trPr>
          <w:cantSplit/>
          <w:tblHeader/>
        </w:trPr>
        <w:tc>
          <w:tcPr>
            <w:tcW w:type="dxa" w:w="600"/>
            <w:shd w:fill="EAF3FB" w:val="clear"/>
            <w:tcMar>
              <w:top w:type="dxa" w:w="80"/>
              <w:left w:type="dxa" w:w="110"/>
              <w:bottom w:type="dxa" w:w="80"/>
              <w:right w:type="dxa" w:w="110"/>
            </w:tcMar>
          </w:tcPr>
          <w:p>
            <w:pPr>
              <w:spacing w:after="0" w:line="260"/>
            </w:pPr>
            <w:r>
              <w:rPr>
                <w:b/>
                <w:bCs/>
                <w:color w:val="1F3A5F"/>
                <w:sz w:val="19"/>
                <w:szCs w:val="19"/>
              </w:rPr>
              <w:t xml:space="preserve">#</w:t>
            </w:r>
          </w:p>
        </w:tc>
        <w:tc>
          <w:tcPr>
            <w:tcW w:type="dxa" w:w="5160"/>
            <w:shd w:fill="EAF3FB" w:val="clear"/>
            <w:tcMar>
              <w:top w:type="dxa" w:w="80"/>
              <w:left w:type="dxa" w:w="110"/>
              <w:bottom w:type="dxa" w:w="80"/>
              <w:right w:type="dxa" w:w="110"/>
            </w:tcMar>
          </w:tcPr>
          <w:p>
            <w:pPr>
              <w:spacing w:after="0" w:line="260"/>
            </w:pPr>
            <w:r>
              <w:rPr>
                <w:b/>
                <w:bCs/>
                <w:color w:val="1F3A5F"/>
                <w:sz w:val="19"/>
                <w:szCs w:val="19"/>
              </w:rPr>
              <w:t xml:space="preserve">Pregunta</w:t>
            </w:r>
          </w:p>
        </w:tc>
        <w:tc>
          <w:tcPr>
            <w:tcW w:type="dxa" w:w="3600"/>
            <w:shd w:fill="EAF3FB" w:val="clear"/>
            <w:tcMar>
              <w:top w:type="dxa" w:w="80"/>
              <w:left w:type="dxa" w:w="110"/>
              <w:bottom w:type="dxa" w:w="80"/>
              <w:right w:type="dxa" w:w="110"/>
            </w:tcMar>
          </w:tcPr>
          <w:p>
            <w:pPr>
              <w:spacing w:after="0" w:line="260"/>
            </w:pPr>
            <w:r>
              <w:rPr>
                <w:b/>
                <w:bCs/>
                <w:color w:val="1F3A5F"/>
                <w:sz w:val="19"/>
                <w:szCs w:val="19"/>
              </w:rPr>
              <w:t xml:space="preserve">Su respuesta</w:t>
            </w:r>
          </w:p>
        </w:tc>
      </w:tr>
      <w:tr>
        <w:trPr>
          <w:cantSplit/>
        </w:trPr>
        <w:tc>
          <w:tcPr>
            <w:tcW w:type="dxa" w:w="600"/>
            <w:tcMar>
              <w:top w:type="dxa" w:w="80"/>
              <w:left w:type="dxa" w:w="110"/>
              <w:bottom w:type="dxa" w:w="80"/>
              <w:right w:type="dxa" w:w="110"/>
            </w:tcMar>
          </w:tcPr>
          <w:p>
            <w:pPr>
              <w:spacing w:after="0" w:line="260"/>
            </w:pPr>
            <w:r>
              <w:rPr>
                <w:sz w:val="19"/>
                <w:szCs w:val="19"/>
              </w:rPr>
              <w:t xml:space="preserve">1a</w:t>
            </w:r>
          </w:p>
        </w:tc>
        <w:tc>
          <w:tcPr>
            <w:tcW w:type="dxa" w:w="5160"/>
            <w:tcMar>
              <w:top w:type="dxa" w:w="80"/>
              <w:left w:type="dxa" w:w="110"/>
              <w:bottom w:type="dxa" w:w="80"/>
              <w:right w:type="dxa" w:w="110"/>
            </w:tcMar>
          </w:tcPr>
          <w:p>
            <w:pPr>
              <w:spacing w:after="0" w:line="260"/>
            </w:pPr>
            <w:r>
              <w:rPr>
                <w:sz w:val="19"/>
                <w:szCs w:val="19"/>
              </w:rPr>
              <w:t xml:space="preserve">«Labores en verde» debe apuntar a la cuenta analítica…</w:t>
            </w:r>
          </w:p>
        </w:tc>
        <w:tc>
          <w:tcPr>
            <w:tcW w:type="dxa" w:w="3600"/>
            <w:tcMar>
              <w:top w:type="dxa" w:w="80"/>
              <w:left w:type="dxa" w:w="110"/>
              <w:bottom w:type="dxa" w:w="80"/>
              <w:right w:type="dxa" w:w="110"/>
            </w:tcMar>
          </w:tcPr>
          <w:p>
            <w:pPr>
              <w:spacing w:after="0" w:line="260"/>
            </w:pPr>
            <w:r>
              <w:rPr>
                <w:sz w:val="19"/>
                <w:szCs w:val="19"/>
              </w:rPr>
              <w:t xml:space="preserve"/>
            </w:r>
          </w:p>
        </w:tc>
      </w:tr>
      <w:tr>
        <w:trPr>
          <w:cantSplit/>
        </w:trPr>
        <w:tc>
          <w:tcPr>
            <w:tcW w:type="dxa" w:w="600"/>
            <w:shd w:fill="F5F7F9" w:val="clear"/>
            <w:tcMar>
              <w:top w:type="dxa" w:w="80"/>
              <w:left w:type="dxa" w:w="110"/>
              <w:bottom w:type="dxa" w:w="80"/>
              <w:right w:type="dxa" w:w="110"/>
            </w:tcMar>
          </w:tcPr>
          <w:p>
            <w:pPr>
              <w:spacing w:after="0" w:line="260"/>
            </w:pPr>
            <w:r>
              <w:rPr>
                <w:sz w:val="19"/>
                <w:szCs w:val="19"/>
              </w:rPr>
              <w:t xml:space="preserve">1b</w:t>
            </w:r>
          </w:p>
        </w:tc>
        <w:tc>
          <w:tcPr>
            <w:tcW w:type="dxa" w:w="5160"/>
            <w:shd w:fill="F5F7F9" w:val="clear"/>
            <w:tcMar>
              <w:top w:type="dxa" w:w="80"/>
              <w:left w:type="dxa" w:w="110"/>
              <w:bottom w:type="dxa" w:w="80"/>
              <w:right w:type="dxa" w:w="110"/>
            </w:tcMar>
          </w:tcPr>
          <w:p>
            <w:pPr>
              <w:spacing w:after="0" w:line="260"/>
            </w:pPr>
            <w:r>
              <w:rPr>
                <w:sz w:val="19"/>
                <w:szCs w:val="19"/>
              </w:rPr>
              <w:t xml:space="preserve">«Labores generales → Administración»: ¿correcto? (sí / no; si no, ¿cuál?)</w:t>
            </w:r>
          </w:p>
        </w:tc>
        <w:tc>
          <w:tcPr>
            <w:tcW w:type="dxa" w:w="3600"/>
            <w:shd w:fill="F5F7F9" w:val="clear"/>
            <w:tcMar>
              <w:top w:type="dxa" w:w="80"/>
              <w:left w:type="dxa" w:w="110"/>
              <w:bottom w:type="dxa" w:w="80"/>
              <w:right w:type="dxa" w:w="110"/>
            </w:tcMar>
          </w:tcPr>
          <w:p>
            <w:pPr>
              <w:spacing w:after="0" w:line="260"/>
            </w:pPr>
            <w:r>
              <w:rPr>
                <w:sz w:val="19"/>
                <w:szCs w:val="19"/>
              </w:rPr>
              <w:t xml:space="preserve"/>
            </w:r>
          </w:p>
        </w:tc>
      </w:tr>
      <w:tr>
        <w:trPr>
          <w:cantSplit/>
        </w:trPr>
        <w:tc>
          <w:tcPr>
            <w:tcW w:type="dxa" w:w="600"/>
            <w:tcMar>
              <w:top w:type="dxa" w:w="80"/>
              <w:left w:type="dxa" w:w="110"/>
              <w:bottom w:type="dxa" w:w="80"/>
              <w:right w:type="dxa" w:w="110"/>
            </w:tcMar>
          </w:tcPr>
          <w:p>
            <w:pPr>
              <w:spacing w:after="0" w:line="260"/>
            </w:pPr>
            <w:r>
              <w:rPr>
                <w:sz w:val="19"/>
                <w:szCs w:val="19"/>
              </w:rPr>
              <w:t xml:space="preserve">1c</w:t>
            </w:r>
          </w:p>
        </w:tc>
        <w:tc>
          <w:tcPr>
            <w:tcW w:type="dxa" w:w="5160"/>
            <w:tcMar>
              <w:top w:type="dxa" w:w="80"/>
              <w:left w:type="dxa" w:w="110"/>
              <w:bottom w:type="dxa" w:w="80"/>
              <w:right w:type="dxa" w:w="110"/>
            </w:tcMar>
          </w:tcPr>
          <w:p>
            <w:pPr>
              <w:spacing w:after="0" w:line="260"/>
            </w:pPr>
            <w:r>
              <w:rPr>
                <w:sz w:val="19"/>
                <w:szCs w:val="19"/>
              </w:rPr>
              <w:t xml:space="preserve">Si hay que corregir: ¿sólo de aquí en adelante (B) o también el histórico (C)?</w:t>
            </w:r>
          </w:p>
        </w:tc>
        <w:tc>
          <w:tcPr>
            <w:tcW w:type="dxa" w:w="3600"/>
            <w:tcMar>
              <w:top w:type="dxa" w:w="80"/>
              <w:left w:type="dxa" w:w="110"/>
              <w:bottom w:type="dxa" w:w="80"/>
              <w:right w:type="dxa" w:w="110"/>
            </w:tcMar>
          </w:tcPr>
          <w:p>
            <w:pPr>
              <w:spacing w:after="0" w:line="260"/>
            </w:pPr>
            <w:r>
              <w:rPr>
                <w:sz w:val="19"/>
                <w:szCs w:val="19"/>
              </w:rPr>
              <w:t xml:space="preserve"/>
            </w:r>
          </w:p>
        </w:tc>
      </w:tr>
      <w:tr>
        <w:trPr>
          <w:cantSplit/>
        </w:trPr>
        <w:tc>
          <w:tcPr>
            <w:tcW w:type="dxa" w:w="600"/>
            <w:shd w:fill="F5F7F9" w:val="clear"/>
            <w:tcMar>
              <w:top w:type="dxa" w:w="80"/>
              <w:left w:type="dxa" w:w="110"/>
              <w:bottom w:type="dxa" w:w="80"/>
              <w:right w:type="dxa" w:w="110"/>
            </w:tcMar>
          </w:tcPr>
          <w:p>
            <w:pPr>
              <w:spacing w:after="0" w:line="260"/>
            </w:pPr>
            <w:r>
              <w:rPr>
                <w:sz w:val="19"/>
                <w:szCs w:val="19"/>
              </w:rPr>
              <w:t xml:space="preserve">2</w:t>
            </w:r>
          </w:p>
        </w:tc>
        <w:tc>
          <w:tcPr>
            <w:tcW w:type="dxa" w:w="5160"/>
            <w:shd w:fill="F5F7F9" w:val="clear"/>
            <w:tcMar>
              <w:top w:type="dxa" w:w="80"/>
              <w:left w:type="dxa" w:w="110"/>
              <w:bottom w:type="dxa" w:w="80"/>
              <w:right w:type="dxa" w:w="110"/>
            </w:tcMar>
          </w:tcPr>
          <w:p>
            <w:pPr>
              <w:spacing w:after="0" w:line="260"/>
            </w:pPr>
            <w:r>
              <w:rPr>
                <w:sz w:val="19"/>
                <w:szCs w:val="19"/>
              </w:rPr>
              <w:t xml:space="preserve">T24-25: ¿cuenta propia (B) o comparte a propósito la de T25-26 (A)?</w:t>
            </w:r>
          </w:p>
        </w:tc>
        <w:tc>
          <w:tcPr>
            <w:tcW w:type="dxa" w:w="3600"/>
            <w:shd w:fill="F5F7F9" w:val="clear"/>
            <w:tcMar>
              <w:top w:type="dxa" w:w="80"/>
              <w:left w:type="dxa" w:w="110"/>
              <w:bottom w:type="dxa" w:w="80"/>
              <w:right w:type="dxa" w:w="110"/>
            </w:tcMar>
          </w:tcPr>
          <w:p>
            <w:pPr>
              <w:spacing w:after="0" w:line="260"/>
            </w:pPr>
            <w:r>
              <w:rPr>
                <w:sz w:val="19"/>
                <w:szCs w:val="19"/>
              </w:rPr>
              <w:t xml:space="preserve"/>
            </w:r>
          </w:p>
        </w:tc>
      </w:tr>
      <w:tr>
        <w:trPr>
          <w:cantSplit/>
        </w:trPr>
        <w:tc>
          <w:tcPr>
            <w:tcW w:type="dxa" w:w="600"/>
            <w:tcMar>
              <w:top w:type="dxa" w:w="80"/>
              <w:left w:type="dxa" w:w="110"/>
              <w:bottom w:type="dxa" w:w="80"/>
              <w:right w:type="dxa" w:w="110"/>
            </w:tcMar>
          </w:tcPr>
          <w:p>
            <w:pPr>
              <w:spacing w:after="0" w:line="260"/>
            </w:pPr>
            <w:r>
              <w:rPr>
                <w:sz w:val="19"/>
                <w:szCs w:val="19"/>
              </w:rPr>
              <w:t xml:space="preserve">3</w:t>
            </w:r>
          </w:p>
        </w:tc>
        <w:tc>
          <w:tcPr>
            <w:tcW w:type="dxa" w:w="5160"/>
            <w:tcMar>
              <w:top w:type="dxa" w:w="80"/>
              <w:left w:type="dxa" w:w="110"/>
              <w:bottom w:type="dxa" w:w="80"/>
              <w:right w:type="dxa" w:w="110"/>
            </w:tcMar>
          </w:tcPr>
          <w:p>
            <w:pPr>
              <w:spacing w:after="0" w:line="260"/>
            </w:pPr>
            <w:r>
              <w:rPr>
                <w:sz w:val="19"/>
                <w:szCs w:val="19"/>
              </w:rPr>
              <w:t xml:space="preserve">Las 26 líneas antiguas: ¿historia cerrada (A) o hay que corregirlas (B)?</w:t>
            </w:r>
          </w:p>
        </w:tc>
        <w:tc>
          <w:tcPr>
            <w:tcW w:type="dxa" w:w="3600"/>
            <w:tcMar>
              <w:top w:type="dxa" w:w="80"/>
              <w:left w:type="dxa" w:w="110"/>
              <w:bottom w:type="dxa" w:w="80"/>
              <w:right w:type="dxa" w:w="110"/>
            </w:tcMar>
          </w:tcPr>
          <w:p>
            <w:pPr>
              <w:spacing w:after="0" w:line="260"/>
            </w:pPr>
            <w:r>
              <w:rPr>
                <w:sz w:val="19"/>
                <w:szCs w:val="19"/>
              </w:rPr>
              <w:t xml:space="preserve"/>
            </w:r>
          </w:p>
        </w:tc>
      </w:tr>
      <w:tr>
        <w:trPr>
          <w:cantSplit/>
        </w:trPr>
        <w:tc>
          <w:tcPr>
            <w:tcW w:type="dxa" w:w="600"/>
            <w:shd w:fill="F5F7F9" w:val="clear"/>
            <w:tcMar>
              <w:top w:type="dxa" w:w="80"/>
              <w:left w:type="dxa" w:w="110"/>
              <w:bottom w:type="dxa" w:w="80"/>
              <w:right w:type="dxa" w:w="110"/>
            </w:tcMar>
          </w:tcPr>
          <w:p>
            <w:pPr>
              <w:spacing w:after="0" w:line="260"/>
            </w:pPr>
            <w:r>
              <w:rPr>
                <w:sz w:val="19"/>
                <w:szCs w:val="19"/>
              </w:rPr>
              <w:t xml:space="preserve">4</w:t>
            </w:r>
          </w:p>
        </w:tc>
        <w:tc>
          <w:tcPr>
            <w:tcW w:type="dxa" w:w="5160"/>
            <w:shd w:fill="F5F7F9" w:val="clear"/>
            <w:tcMar>
              <w:top w:type="dxa" w:w="80"/>
              <w:left w:type="dxa" w:w="110"/>
              <w:bottom w:type="dxa" w:w="80"/>
              <w:right w:type="dxa" w:w="110"/>
            </w:tcMar>
          </w:tcPr>
          <w:p>
            <w:pPr>
              <w:spacing w:after="0" w:line="260"/>
            </w:pPr>
            <w:r>
              <w:rPr>
                <w:sz w:val="19"/>
                <w:szCs w:val="19"/>
              </w:rPr>
              <w:t xml:space="preserve">OT 23: ¿lo rehacemos nosotros (A), lo rehace usted (B) o se deja (C)?</w:t>
            </w:r>
          </w:p>
        </w:tc>
        <w:tc>
          <w:tcPr>
            <w:tcW w:type="dxa" w:w="3600"/>
            <w:shd w:fill="F5F7F9" w:val="clear"/>
            <w:tcMar>
              <w:top w:type="dxa" w:w="80"/>
              <w:left w:type="dxa" w:w="110"/>
              <w:bottom w:type="dxa" w:w="80"/>
              <w:right w:type="dxa" w:w="110"/>
            </w:tcMar>
          </w:tcPr>
          <w:p>
            <w:pPr>
              <w:spacing w:after="0" w:line="260"/>
            </w:pPr>
            <w:r>
              <w:rPr>
                <w:sz w:val="19"/>
                <w:szCs w:val="19"/>
              </w:rPr>
              <w:t xml:space="preserve"/>
            </w:r>
          </w:p>
        </w:tc>
      </w:tr>
      <w:tr>
        <w:trPr>
          <w:cantSplit/>
        </w:trPr>
        <w:tc>
          <w:tcPr>
            <w:tcW w:type="dxa" w:w="600"/>
            <w:tcMar>
              <w:top w:type="dxa" w:w="80"/>
              <w:left w:type="dxa" w:w="110"/>
              <w:bottom w:type="dxa" w:w="80"/>
              <w:right w:type="dxa" w:w="110"/>
            </w:tcMar>
          </w:tcPr>
          <w:p>
            <w:pPr>
              <w:spacing w:after="0" w:line="260"/>
            </w:pPr>
            <w:r>
              <w:rPr>
                <w:sz w:val="19"/>
                <w:szCs w:val="19"/>
              </w:rPr>
              <w:t xml:space="preserve">5</w:t>
            </w:r>
          </w:p>
        </w:tc>
        <w:tc>
          <w:tcPr>
            <w:tcW w:type="dxa" w:w="5160"/>
            <w:tcMar>
              <w:top w:type="dxa" w:w="80"/>
              <w:left w:type="dxa" w:w="110"/>
              <w:bottom w:type="dxa" w:w="80"/>
              <w:right w:type="dxa" w:w="110"/>
            </w:tcMar>
          </w:tcPr>
          <w:p>
            <w:pPr>
              <w:spacing w:after="0" w:line="260"/>
            </w:pPr>
            <w:r>
              <w:rPr>
                <w:sz w:val="19"/>
                <w:szCs w:val="19"/>
              </w:rPr>
              <w:t xml:space="preserve">¿Algo del comprobante corregido que no sea lo esperado?</w:t>
            </w:r>
          </w:p>
        </w:tc>
        <w:tc>
          <w:tcPr>
            <w:tcW w:type="dxa" w:w="3600"/>
            <w:tcMar>
              <w:top w:type="dxa" w:w="80"/>
              <w:left w:type="dxa" w:w="110"/>
              <w:bottom w:type="dxa" w:w="80"/>
              <w:right w:type="dxa" w:w="110"/>
            </w:tcMar>
          </w:tcPr>
          <w:p>
            <w:pPr>
              <w:spacing w:after="0" w:line="260"/>
            </w:pPr>
            <w:r>
              <w:rPr>
                <w:sz w:val="19"/>
                <w:szCs w:val="19"/>
              </w:rPr>
              <w:t xml:space="preserve"/>
            </w:r>
          </w:p>
        </w:tc>
      </w:tr>
    </w:tbl>
    <w:p>
      <w:pPr>
        <w:spacing w:after="200"/>
      </w:pPr>
    </w:p>
    <w:tbl>
      <w:tblPr>
        <w:tblW w:type="dxa" w:w="9360"/>
        <w:tblBorders>
          <w:top w:val="single" w:color="3C9BDD" w:sz="4"/>
          <w:left w:val="single" w:color="3C9BDD" w:sz="18"/>
          <w:bottom w:val="single" w:color="3C9BDD" w:sz="4"/>
          <w:right w:val="single" w:color="3C9BDD" w:sz="4"/>
          <w:insideH w:val="none"/>
          <w:insideV w:val="none"/>
        </w:tblBorders>
      </w:tblPr>
      <w:tblGrid>
        <w:gridCol w:w="9360"/>
      </w:tblGrid>
      <w:tr>
        <w:tc>
          <w:tcPr>
            <w:tcW w:type="dxa" w:w="9360"/>
            <w:shd w:fill="EAF3FB" w:val="clear"/>
            <w:tcMar>
              <w:top w:type="dxa" w:w="140"/>
              <w:left w:type="dxa" w:w="180"/>
              <w:bottom w:type="dxa" w:w="140"/>
              <w:right w:type="dxa" w:w="180"/>
            </w:tcMar>
          </w:tcPr>
          <w:p>
            <w:pPr>
              <w:spacing w:after="60"/>
            </w:pPr>
            <w:r>
              <w:rPr>
                <w:b/>
                <w:bCs/>
                <w:color w:val="1F3A5F"/>
                <w:sz w:val="20"/>
                <w:szCs w:val="20"/>
              </w:rPr>
              <w:t xml:space="preserve">Si al probar algo no calza</w:t>
            </w:r>
          </w:p>
          <w:p>
            <w:pPr>
              <w:spacing w:after="0" w:line="276"/>
            </w:pPr>
            <w:r>
              <w:rPr>
                <w:sz w:val="20"/>
                <w:szCs w:val="20"/>
              </w:rPr>
              <w:t xml:space="preserve">Cuéntenos el Número OT del registro, el ambiente (Demo o Desarrollo) y qué esperaba ver en la columna Distribución Analítica. Con esos tres datos podemos reproducirlo exactamente.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570"/>
        <w:sz w:val="16"/>
        <w:szCs w:val="16"/>
      </w:rPr>
      <w:t xml:space="preserve">Steps App · Maquinaria Correcciones 2 · 29-08-2026 · </w:t>
    </w:r>
    <w:r>
      <w:rPr>
        <w:color w:val="5A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780" w:hanging="24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Maquinaria — Correcciones 2</dc:title>
  <dc:creator>Steps App</dc:creator>
  <dc:description>Informe de entrega y decisiones pendientes</dc:description>
  <cp:lastModifiedBy>Un-named</cp:lastModifiedBy>
  <cp:revision>1</cp:revision>
  <dcterms:created xsi:type="dcterms:W3CDTF">2026-08-30T00:16:33.266Z</dcterms:created>
  <dcterms:modified xsi:type="dcterms:W3CDTF">2026-08-30T00:16:33.267Z</dcterms:modified>
</cp:coreProperties>
</file>

<file path=docProps/custom.xml><?xml version="1.0" encoding="utf-8"?>
<Properties xmlns="http://schemas.openxmlformats.org/officeDocument/2006/custom-properties" xmlns:vt="http://schemas.openxmlformats.org/officeDocument/2006/docPropsVTypes"/>
</file>