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3C9BDD"/>
          <w:spacing w:val="30"/>
          <w:sz w:val="17"/>
          <w:szCs w:val="17"/>
        </w:rPr>
        <w:t xml:space="preserve">STEPS APP  ·  INFORME DE ENTREGA</w:t>
      </w:r>
    </w:p>
    <w:p>
      <w:pPr>
        <w:spacing w:after="60"/>
      </w:pPr>
      <w:r>
        <w:rPr>
          <w:b/>
          <w:bCs/>
          <w:color w:val="1F3A5F"/>
          <w:sz w:val="44"/>
          <w:szCs w:val="44"/>
        </w:rPr>
        <w:t xml:space="preserve">Contabilidad / Tesorería — Correcciones 1</w:t>
      </w:r>
    </w:p>
    <w:p>
      <w:pPr>
        <w:pBdr>
          <w:bottom w:val="single" w:color="3C9BDD" w:sz="12" w:space="8"/>
        </w:pBdr>
        <w:spacing w:after="240"/>
      </w:pPr>
      <w:r>
        <w:rPr>
          <w:color w:val="5A6570"/>
          <w:sz w:val="24"/>
          <w:szCs w:val="24"/>
        </w:rPr>
        <w:t xml:space="preserve">Identidad de la aplicación y semanas reales en el flujo de caja</w:t>
      </w:r>
    </w:p>
    <w:tbl>
      <w:tblPr>
        <w:tblW w:type="dxa" w:w="9360"/>
        <w:tblBorders>
          <w:top w:val="single" w:color="C8D2DC" w:sz="4"/>
          <w:left w:val="single" w:color="C8D2DC" w:sz="4"/>
          <w:bottom w:val="single" w:color="C8D2DC" w:sz="4"/>
          <w:right w:val="single" w:color="C8D2DC" w:sz="4"/>
          <w:insideH w:val="single" w:color="DCE4EC" w:sz="4"/>
          <w:insideV w:val="single" w:color="DCE4EC" w:sz="4"/>
        </w:tblBorders>
      </w:tblPr>
      <w:tblGrid>
        <w:gridCol w:w="1700"/>
        <w:gridCol w:w="2900"/>
        <w:gridCol w:w="2260"/>
        <w:gridCol w:w="2500"/>
      </w:tblGrid>
      <w:tr>
        <w:trPr>
          <w:cantSplit/>
          <w:tblHeader/>
        </w:trPr>
        <w:tc>
          <w:tcPr>
            <w:tcW w:type="dxa" w:w="1700"/>
            <w:shd w:fill="EAF3FB" w:val="clear"/>
            <w:tcMar>
              <w:top w:type="dxa" w:w="80"/>
              <w:left w:type="dxa" w:w="110"/>
              <w:bottom w:type="dxa" w:w="80"/>
              <w:right w:type="dxa" w:w="110"/>
            </w:tcMar>
          </w:tcPr>
          <w:p>
            <w:pPr>
              <w:spacing w:after="0" w:line="260"/>
            </w:pPr>
            <w:r>
              <w:rPr>
                <w:b/>
                <w:bCs/>
                <w:color w:val="1F3A5F"/>
                <w:sz w:val="19"/>
                <w:szCs w:val="19"/>
              </w:rPr>
              <w:t xml:space="preserve">Fecha</w:t>
            </w:r>
          </w:p>
        </w:tc>
        <w:tc>
          <w:tcPr>
            <w:tcW w:type="dxa" w:w="2900"/>
            <w:shd w:fill="EAF3FB" w:val="clear"/>
            <w:tcMar>
              <w:top w:type="dxa" w:w="80"/>
              <w:left w:type="dxa" w:w="110"/>
              <w:bottom w:type="dxa" w:w="80"/>
              <w:right w:type="dxa" w:w="110"/>
            </w:tcMar>
          </w:tcPr>
          <w:p>
            <w:pPr>
              <w:spacing w:after="0" w:line="260"/>
            </w:pPr>
            <w:r>
              <w:rPr>
                <w:b/>
                <w:bCs/>
                <w:color w:val="1F3A5F"/>
                <w:sz w:val="19"/>
                <w:szCs w:val="19"/>
              </w:rPr>
              <w:t xml:space="preserve">Versión del módulo</w:t>
            </w:r>
          </w:p>
        </w:tc>
        <w:tc>
          <w:tcPr>
            <w:tcW w:type="dxa" w:w="2260"/>
            <w:shd w:fill="EAF3FB" w:val="clear"/>
            <w:tcMar>
              <w:top w:type="dxa" w:w="80"/>
              <w:left w:type="dxa" w:w="110"/>
              <w:bottom w:type="dxa" w:w="80"/>
              <w:right w:type="dxa" w:w="110"/>
            </w:tcMar>
          </w:tcPr>
          <w:p>
            <w:pPr>
              <w:spacing w:after="0" w:line="260"/>
            </w:pPr>
            <w:r>
              <w:rPr>
                <w:b/>
                <w:bCs/>
                <w:color w:val="1F3A5F"/>
                <w:sz w:val="19"/>
                <w:szCs w:val="19"/>
              </w:rPr>
              <w:t xml:space="preserve">Ambientes</w:t>
            </w:r>
          </w:p>
        </w:tc>
        <w:tc>
          <w:tcPr>
            <w:tcW w:type="dxa" w:w="2500"/>
            <w:shd w:fill="EAF3FB" w:val="clear"/>
            <w:tcMar>
              <w:top w:type="dxa" w:w="80"/>
              <w:left w:type="dxa" w:w="110"/>
              <w:bottom w:type="dxa" w:w="80"/>
              <w:right w:type="dxa" w:w="110"/>
            </w:tcMar>
          </w:tcPr>
          <w:p>
            <w:pPr>
              <w:spacing w:after="0" w:line="260"/>
            </w:pPr>
            <w:r>
              <w:rPr>
                <w:b/>
                <w:bCs/>
                <w:color w:val="1F3A5F"/>
                <w:sz w:val="19"/>
                <w:szCs w:val="19"/>
              </w:rPr>
              <w:t xml:space="preserve">Estado</w:t>
            </w:r>
          </w:p>
        </w:tc>
      </w:tr>
      <w:tr>
        <w:trPr>
          <w:cantSplit/>
        </w:trPr>
        <w:tc>
          <w:tcPr>
            <w:tcW w:type="dxa" w:w="1700"/>
            <w:tcMar>
              <w:top w:type="dxa" w:w="80"/>
              <w:left w:type="dxa" w:w="110"/>
              <w:bottom w:type="dxa" w:w="80"/>
              <w:right w:type="dxa" w:w="110"/>
            </w:tcMar>
          </w:tcPr>
          <w:p>
            <w:pPr>
              <w:spacing w:after="0" w:line="260"/>
            </w:pPr>
            <w:r>
              <w:rPr>
                <w:sz w:val="19"/>
                <w:szCs w:val="19"/>
              </w:rPr>
              <w:t xml:space="preserve">30 de agosto de 2026</w:t>
            </w:r>
          </w:p>
        </w:tc>
        <w:tc>
          <w:tcPr>
            <w:tcW w:type="dxa" w:w="2900"/>
            <w:tcMar>
              <w:top w:type="dxa" w:w="80"/>
              <w:left w:type="dxa" w:w="110"/>
              <w:bottom w:type="dxa" w:w="80"/>
              <w:right w:type="dxa" w:w="110"/>
            </w:tcMar>
          </w:tcPr>
          <w:p>
            <w:pPr>
              <w:spacing w:after="0" w:line="260"/>
            </w:pPr>
            <w:r>
              <w:rPr>
                <w:sz w:val="19"/>
                <w:szCs w:val="19"/>
              </w:rPr>
              <w:t xml:space="preserve">step_account_treasury 18.0.1.2.0</w:t>
            </w:r>
          </w:p>
        </w:tc>
        <w:tc>
          <w:tcPr>
            <w:tcW w:type="dxa" w:w="2260"/>
            <w:tcMar>
              <w:top w:type="dxa" w:w="80"/>
              <w:left w:type="dxa" w:w="110"/>
              <w:bottom w:type="dxa" w:w="80"/>
              <w:right w:type="dxa" w:w="110"/>
            </w:tcMar>
          </w:tcPr>
          <w:p>
            <w:pPr>
              <w:spacing w:after="0" w:line="260"/>
            </w:pPr>
            <w:r>
              <w:rPr>
                <w:sz w:val="19"/>
                <w:szCs w:val="19"/>
              </w:rPr>
              <w:t xml:space="preserve">Demo y Desarrollo</w:t>
            </w:r>
          </w:p>
        </w:tc>
        <w:tc>
          <w:tcPr>
            <w:tcW w:type="dxa" w:w="2500"/>
            <w:tcMar>
              <w:top w:type="dxa" w:w="80"/>
              <w:left w:type="dxa" w:w="110"/>
              <w:bottom w:type="dxa" w:w="80"/>
              <w:right w:type="dxa" w:w="110"/>
            </w:tcMar>
          </w:tcPr>
          <w:p>
            <w:pPr>
              <w:spacing w:after="0" w:line="260"/>
            </w:pPr>
            <w:r>
              <w:rPr>
                <w:sz w:val="19"/>
                <w:szCs w:val="19"/>
              </w:rPr>
              <w:t xml:space="preserve">Desplegado y verificado en pantalla</w:t>
            </w:r>
          </w:p>
        </w:tc>
      </w:tr>
    </w:tbl>
    <w:p>
      <w:pPr>
        <w:spacing w:after="240"/>
      </w:pPr>
    </w:p>
    <w:tbl>
      <w:tblPr>
        <w:tblW w:type="dxa" w:w="9360"/>
        <w:tblBorders>
          <w:top w:val="single" w:color="3C9BDD" w:sz="4"/>
          <w:left w:val="single" w:color="3C9BDD" w:sz="18"/>
          <w:bottom w:val="single" w:color="3C9BDD" w:sz="4"/>
          <w:right w:val="single" w:color="3C9BDD" w:sz="4"/>
          <w:insideH w:val="none"/>
          <w:insideV w:val="none"/>
        </w:tblBorders>
      </w:tblPr>
      <w:tblGrid>
        <w:gridCol w:w="9360"/>
      </w:tblGrid>
      <w:tr>
        <w:trPr>
          <w:cantSplit/>
        </w:trPr>
        <w:tc>
          <w:tcPr>
            <w:tcW w:type="dxa" w:w="9360"/>
            <w:shd w:fill="EAF3FB" w:val="clear"/>
            <w:tcMar>
              <w:top w:type="dxa" w:w="140"/>
              <w:left w:type="dxa" w:w="180"/>
              <w:bottom w:type="dxa" w:w="140"/>
              <w:right w:type="dxa" w:w="180"/>
            </w:tcMar>
          </w:tcPr>
          <w:p>
            <w:pPr>
              <w:spacing w:after="60"/>
            </w:pPr>
            <w:r>
              <w:rPr>
                <w:b/>
                <w:bCs/>
                <w:color w:val="1F3A5F"/>
                <w:sz w:val="20"/>
                <w:szCs w:val="20"/>
              </w:rPr>
              <w:t xml:space="preserve">Cómo leer este documento</w:t>
            </w:r>
          </w:p>
          <w:p>
            <w:pPr>
              <w:spacing w:after="0" w:line="276"/>
            </w:pPr>
            <w:r>
              <w:rPr>
                <w:sz w:val="20"/>
                <w:szCs w:val="20"/>
              </w:rPr>
              <w:t xml:space="preserve">Las secciones 1 a 4 cuentan qué se corrigió y cómo comprobarlo usted mismo. La 5 dice dónde quedó y con qué respaldo. La 6 es lo que NO quedó cubierto, con el motivo de cada caso. La 7 son recomendaciones que no le pedimos que apruebe hoy, pero que conviene tener sobre la mesa.</w:t>
            </w:r>
          </w:p>
        </w:tc>
      </w:tr>
    </w:tbl>
    <w:p>
      <w:pPr>
        <w:spacing w:after="200"/>
      </w:pPr>
    </w:p>
    <w:p>
      <w:pPr>
        <w:pStyle w:val="Heading1"/>
        <w:pBdr>
          <w:bottom w:val="single" w:color="3C9BDD" w:sz="8" w:space="6"/>
        </w:pBdr>
        <w:spacing w:after="180" w:before="360"/>
      </w:pPr>
      <w:r>
        <w:rPr>
          <w:b/>
          <w:bCs/>
          <w:color w:val="1F3A5F"/>
          <w:sz w:val="30"/>
          <w:szCs w:val="30"/>
        </w:rPr>
        <w:t xml:space="preserve">1. Lo que pedía el documento</w:t>
      </w:r>
    </w:p>
    <w:p>
      <w:pPr>
        <w:pStyle w:val="ListParagraph"/>
        <w:numPr>
          <w:ilvl w:val="0"/>
          <w:numId w:val="2"/>
        </w:numPr>
        <w:spacing w:after="100" w:line="276"/>
      </w:pPr>
      <w:r>
        <w:rPr>
          <w:sz w:val="21"/>
          <w:szCs w:val="21"/>
        </w:rPr>
        <w:t xml:space="preserve">Cambiar el nombre y el logo del módulo: decía «Facturando», debe decir «Tesorería», con el logo en el estilo de los módulos Steps.</w:t>
      </w:r>
    </w:p>
    <w:p>
      <w:pPr>
        <w:pStyle w:val="ListParagraph"/>
        <w:numPr>
          <w:ilvl w:val="0"/>
          <w:numId w:val="2"/>
        </w:numPr>
        <w:spacing w:after="100" w:line="276"/>
      </w:pPr>
      <w:r>
        <w:rPr>
          <w:sz w:val="21"/>
          <w:szCs w:val="21"/>
        </w:rPr>
        <w:t xml:space="preserve">Cambiar los nombres de las semanas en el formulario de flujo de caja: donde dice W1, W2, W3, W4, W5 debe ir la semana calendario real del rango de fechas del flujo, por ejemplo W35, W36, … W39.</w:t>
      </w:r>
    </w:p>
    <w:p>
      <w:pPr>
        <w:spacing w:after="60"/>
      </w:pPr>
    </w:p>
    <w:p>
      <w:pPr>
        <w:spacing w:after="140" w:line="276"/>
      </w:pPr>
      <w:r>
        <w:rPr>
          <w:sz w:val="21"/>
          <w:szCs w:val="21"/>
        </w:rPr>
        <w:t xml:space="preserve">Ambos puntos están resueltos y verificados en pantalla. </w:t>
      </w:r>
      <w:r>
        <w:rPr>
          <w:b/>
          <w:bCs/>
          <w:sz w:val="21"/>
          <w:szCs w:val="21"/>
        </w:rPr>
        <w:t xml:space="preserve">El segundo se aplicó además al resumen, al PDF, al Excel y al tablero, para que ningún lugar del módulo siga hablando de W1.</w:t>
      </w:r>
    </w:p>
    <w:p>
      <w:pPr>
        <w:pStyle w:val="Heading1"/>
        <w:pBdr>
          <w:bottom w:val="single" w:color="3C9BDD" w:sz="8" w:space="6"/>
        </w:pBdr>
        <w:spacing w:after="180" w:before="360"/>
      </w:pPr>
      <w:r>
        <w:rPr>
          <w:b/>
          <w:bCs/>
          <w:color w:val="1F3A5F"/>
          <w:sz w:val="30"/>
          <w:szCs w:val="30"/>
        </w:rPr>
        <w:t xml:space="preserve">2. Corrección 1 — La aplicación ahora se llama Tesorería</w:t>
      </w:r>
    </w:p>
    <w:p>
      <w:pPr>
        <w:pStyle w:val="Heading3"/>
        <w:spacing w:after="90" w:before="180"/>
      </w:pPr>
      <w:r>
        <w:rPr>
          <w:b/>
          <w:bCs/>
          <w:color w:val="3C9BDD"/>
          <w:sz w:val="21"/>
          <w:szCs w:val="21"/>
        </w:rPr>
        <w:t xml:space="preserve">Qué pasaba</w:t>
      </w:r>
    </w:p>
    <w:p>
      <w:pPr>
        <w:spacing w:after="140" w:line="276"/>
      </w:pPr>
      <w:r>
        <w:rPr>
          <w:sz w:val="21"/>
          <w:szCs w:val="21"/>
        </w:rPr>
        <w:t xml:space="preserve">El módulo colgaba del menú de Contabilidad, así que no tenía identidad propia: al entrar a Tesorería, el selector de aplicaciones mostraba «Facturando» —que es como Odoo traduce su app de facturación— con el icono azul estándar de Odoo.</w:t>
      </w:r>
    </w:p>
    <w:p>
      <w:pPr>
        <w:pStyle w:val="Heading3"/>
        <w:spacing w:after="90" w:before="180"/>
      </w:pPr>
      <w:r>
        <w:rPr>
          <w:b/>
          <w:bCs/>
          <w:color w:val="3C9BDD"/>
          <w:sz w:val="21"/>
          <w:szCs w:val="21"/>
        </w:rPr>
        <w:t xml:space="preserve">Qué se hizo</w:t>
      </w:r>
    </w:p>
    <w:p>
      <w:pPr>
        <w:pStyle w:val="ListParagraph"/>
        <w:numPr>
          <w:ilvl w:val="0"/>
          <w:numId w:val="3"/>
        </w:numPr>
        <w:spacing w:after="90" w:line="276"/>
      </w:pPr>
      <w:r>
        <w:rPr>
          <w:sz w:val="21"/>
          <w:szCs w:val="21"/>
        </w:rPr>
        <w:t xml:space="preserve">Tesorería pasó a ser una aplicación propia, con su nombre y su icono en el selector de aplicaciones.</w:t>
      </w:r>
    </w:p>
    <w:p>
      <w:pPr>
        <w:pStyle w:val="ListParagraph"/>
        <w:numPr>
          <w:ilvl w:val="0"/>
          <w:numId w:val="3"/>
        </w:numPr>
        <w:spacing w:after="90" w:line="276"/>
      </w:pPr>
      <w:r>
        <w:rPr>
          <w:sz w:val="21"/>
          <w:szCs w:val="21"/>
        </w:rPr>
        <w:t xml:space="preserve">Se creó un icono nuevo en el estilo de los demás módulos Steps: cuadrado de esquinas redondeadas, fondo verde oscuro, motivo en verdes y lima, con el mismo engranaje que usa el icono de Maquinaria.</w:t>
      </w:r>
    </w:p>
    <w:p>
      <w:pPr>
        <w:pStyle w:val="ListParagraph"/>
        <w:numPr>
          <w:ilvl w:val="0"/>
          <w:numId w:val="3"/>
        </w:numPr>
        <w:spacing w:after="90" w:line="276"/>
      </w:pPr>
      <w:r>
        <w:rPr>
          <w:sz w:val="21"/>
          <w:szCs w:val="21"/>
        </w:rPr>
        <w:t xml:space="preserve">Todo lo de adentro quedó igual: los menús siguen reutilizando las pantallas estándar de Odoo para pagos, conciliación e informes. No se duplicó ninguna lógica.</w:t>
      </w:r>
    </w:p>
    <w:p>
      <w:pPr>
        <w:spacing w:after="80"/>
      </w:pPr>
    </w:p>
    <w:p>
      <w:pPr>
        <w:spacing w:after="60"/>
        <w:jc w:val="center"/>
      </w:pPr>
      <w:r>
        <w:drawing>
          <wp:inline distT="0" distB="0" distL="0" distR="0">
            <wp:extent cx="1257300" cy="12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57300" cy="1257300"/>
                    </a:xfrm>
                    <a:prstGeom prst="rect">
                      <a:avLst/>
                    </a:prstGeom>
                  </pic:spPr>
                </pic:pic>
              </a:graphicData>
            </a:graphic>
          </wp:inline>
        </w:drawing>
      </w:r>
    </w:p>
    <w:p>
      <w:pPr>
        <w:spacing w:after="180"/>
        <w:jc w:val="center"/>
      </w:pPr>
      <w:r>
        <w:rPr>
          <w:i/>
          <w:iCs/>
          <w:color w:val="5A6570"/>
          <w:sz w:val="18"/>
          <w:szCs w:val="18"/>
        </w:rPr>
        <w:t xml:space="preserve">El icono nuevo de Tesorería</w:t>
      </w:r>
    </w:p>
    <w:p>
      <w:pPr>
        <w:pStyle w:val="Heading3"/>
        <w:spacing w:after="90" w:before="180"/>
      </w:pPr>
      <w:r>
        <w:rPr>
          <w:b/>
          <w:bCs/>
          <w:color w:val="3C9BDD"/>
          <w:sz w:val="21"/>
          <w:szCs w:val="21"/>
        </w:rPr>
        <w:t xml:space="preserve">Una decisión que conviene explicar</w:t>
      </w:r>
    </w:p>
    <w:p>
      <w:pPr>
        <w:spacing w:after="140" w:line="276"/>
      </w:pPr>
      <w:r>
        <w:rPr>
          <w:sz w:val="21"/>
          <w:szCs w:val="21"/>
        </w:rPr>
        <w:t xml:space="preserve">Había dos formas de hacer que dejara de decir «Facturando». Una era renombrar la propia app de facturación de Odoo; la otra, darle a Tesorería su propia app. </w:t>
      </w:r>
      <w:r>
        <w:rPr>
          <w:b/>
          <w:bCs/>
          <w:sz w:val="21"/>
          <w:szCs w:val="21"/>
        </w:rPr>
        <w:t xml:space="preserve">Elegimos la segunda.</w:t>
      </w:r>
      <w:r>
        <w:rPr>
          <w:sz w:val="21"/>
          <w:szCs w:val="21"/>
        </w:rPr>
        <w:t xml:space="preserve"> Renombrar Facturando habría cambiado el nombre de una aplicación estándar que usan también quienes emiten y registran facturas, y que no tiene nada que ver con Tesorería. Ahora hay dos aplicaciones distintas porque son dos cosas distintas.</w:t>
      </w:r>
    </w:p>
    <w:p>
      <w:pPr>
        <w:spacing w:after="140" w:line="276"/>
      </w:pPr>
      <w:r>
        <w:rPr>
          <w:sz w:val="21"/>
          <w:szCs w:val="21"/>
        </w:rPr>
        <w:t xml:space="preserve">Como Tesorería salió de adentro de Contabilidad, </w:t>
      </w:r>
      <w:r>
        <w:rPr>
          <w:b/>
          <w:bCs/>
          <w:sz w:val="21"/>
          <w:szCs w:val="21"/>
        </w:rPr>
        <w:t xml:space="preserve">se dejó un acceso directo «Tesorería» dentro de Contabilidad</w:t>
      </w:r>
      <w:r>
        <w:rPr>
          <w:sz w:val="21"/>
          <w:szCs w:val="21"/>
        </w:rPr>
        <w:t xml:space="preserve"> para quien la siga buscando donde estaba. Si prefieren que no esté, se quita en un minuto.</w:t>
      </w:r>
    </w:p>
    <w:p>
      <w:pPr>
        <w:spacing w:after="60"/>
      </w:pPr>
    </w:p>
    <w:tbl>
      <w:tblPr>
        <w:tblW w:type="dxa" w:w="9360"/>
        <w:tblBorders>
          <w:top w:val="single" w:color="3C9BDD" w:sz="4"/>
          <w:left w:val="single" w:color="3C9BDD" w:sz="18"/>
          <w:bottom w:val="single" w:color="3C9BDD" w:sz="4"/>
          <w:right w:val="single" w:color="3C9BDD" w:sz="4"/>
          <w:insideH w:val="none"/>
          <w:insideV w:val="none"/>
        </w:tblBorders>
      </w:tblPr>
      <w:tblGrid>
        <w:gridCol w:w="9360"/>
      </w:tblGrid>
      <w:tr>
        <w:trPr>
          <w:cantSplit/>
        </w:trPr>
        <w:tc>
          <w:tcPr>
            <w:tcW w:type="dxa" w:w="9360"/>
            <w:shd w:fill="EAF3FB" w:val="clear"/>
            <w:tcMar>
              <w:top w:type="dxa" w:w="140"/>
              <w:left w:type="dxa" w:w="180"/>
              <w:bottom w:type="dxa" w:w="140"/>
              <w:right w:type="dxa" w:w="180"/>
            </w:tcMar>
          </w:tcPr>
          <w:p>
            <w:pPr>
              <w:spacing w:after="60"/>
            </w:pPr>
            <w:r>
              <w:rPr>
                <w:b/>
                <w:bCs/>
                <w:color w:val="1F3A5F"/>
                <w:sz w:val="20"/>
                <w:szCs w:val="20"/>
              </w:rPr>
              <w:t xml:space="preserve">Quién ve la aplicación</w:t>
            </w:r>
          </w:p>
          <w:p>
            <w:pPr>
              <w:spacing w:after="0" w:line="276"/>
            </w:pPr>
            <w:r>
              <w:rPr>
                <w:sz w:val="20"/>
                <w:szCs w:val="20"/>
              </w:rPr>
              <w:t xml:space="preserve">La visibilidad no cambió: la app la ven los mismos usuarios que antes veían el menú, los que tienen perfil de Tesorería. Hoy son 2 usuarios en Demo y 6 en Desarrollo. Si alguien esperaba ver la baldosa y no la ve, es cuestión de perfil, no del cambio.</w:t>
            </w:r>
          </w:p>
        </w:tc>
      </w:tr>
    </w:tbl>
    <w:p>
      <w:pPr>
        <w:pStyle w:val="Heading1"/>
        <w:pBdr>
          <w:bottom w:val="single" w:color="3C9BDD" w:sz="8" w:space="6"/>
        </w:pBdr>
        <w:spacing w:after="180" w:before="360"/>
      </w:pPr>
      <w:r>
        <w:rPr>
          <w:b/>
          <w:bCs/>
          <w:color w:val="1F3A5F"/>
          <w:sz w:val="30"/>
          <w:szCs w:val="30"/>
        </w:rPr>
        <w:t xml:space="preserve">3. Corrección 2 — Las semanas reales del calendario</w:t>
      </w:r>
    </w:p>
    <w:p>
      <w:pPr>
        <w:pStyle w:val="Heading3"/>
        <w:spacing w:after="90" w:before="180"/>
      </w:pPr>
      <w:r>
        <w:rPr>
          <w:b/>
          <w:bCs/>
          <w:color w:val="3C9BDD"/>
          <w:sz w:val="21"/>
          <w:szCs w:val="21"/>
        </w:rPr>
        <w:t xml:space="preserve">Qué pasaba</w:t>
      </w:r>
    </w:p>
    <w:p>
      <w:pPr>
        <w:spacing w:after="140" w:line="276"/>
      </w:pPr>
      <w:r>
        <w:rPr>
          <w:sz w:val="21"/>
          <w:szCs w:val="21"/>
        </w:rPr>
        <w:t xml:space="preserve">Las cinco columnas del horizonte se llamaban W1 a W5 —el número de la ventana dentro del flujo— y no decían nada sobre en qué semana del año caía cada una. Para conversar sobre el flujo había que traducir mentalmente «W3» a «la semana del 7 de septiembre».</w:t>
      </w:r>
    </w:p>
    <w:p>
      <w:pPr>
        <w:pStyle w:val="Heading3"/>
        <w:spacing w:after="90" w:before="180"/>
      </w:pPr>
      <w:r>
        <w:rPr>
          <w:b/>
          <w:bCs/>
          <w:color w:val="3C9BDD"/>
          <w:sz w:val="21"/>
          <w:szCs w:val="21"/>
        </w:rPr>
        <w:t xml:space="preserve">Qué se hizo</w:t>
      </w:r>
    </w:p>
    <w:p>
      <w:pPr>
        <w:spacing w:after="140" w:line="276"/>
      </w:pPr>
      <w:r>
        <w:rPr>
          <w:sz w:val="21"/>
          <w:szCs w:val="21"/>
        </w:rPr>
        <w:t xml:space="preserve">Cada ventana se rotula con la semana del calendario de su primer día. Un flujo que arranca el 24/08/2026 se lee así:</w:t>
      </w:r>
    </w:p>
    <w:p>
      <w:pPr>
        <w:spacing w:after="40"/>
      </w:pPr>
    </w:p>
    <w:p>
      <w:pPr>
        <w:shd w:fill="F5F7F9" w:val="clear"/>
        <w:spacing w:after="0" w:line="240"/>
        <w:ind w:left="260"/>
      </w:pPr>
      <w:r>
        <w:rPr>
          <w:rFonts w:ascii="Consolas" w:cs="Consolas" w:eastAsia="Consolas" w:hAnsi="Consolas"/>
          <w:color w:val="23303B"/>
          <w:sz w:val="17"/>
          <w:szCs w:val="17"/>
        </w:rPr>
        <w:t xml:space="preserve">  Vencido    W35        W36        W37        W38        W39        Otros</w:t>
      </w:r>
    </w:p>
    <w:p>
      <w:pPr>
        <w:shd w:fill="F5F7F9" w:val="clear"/>
        <w:spacing w:after="0" w:line="240"/>
        <w:ind w:left="260"/>
      </w:pPr>
      <w:r>
        <w:rPr>
          <w:rFonts w:ascii="Consolas" w:cs="Consolas" w:eastAsia="Consolas" w:hAnsi="Consolas"/>
          <w:color w:val="23303B"/>
          <w:sz w:val="17"/>
          <w:szCs w:val="17"/>
        </w:rPr>
        <w:t xml:space="preserve">             24/08      31/08      07/09      14/09      21/09</w:t>
      </w:r>
    </w:p>
    <w:p>
      <w:pPr>
        <w:shd w:fill="F5F7F9" w:val="clear"/>
        <w:spacing w:after="160" w:line="240"/>
        <w:ind w:left="260"/>
      </w:pPr>
      <w:r>
        <w:rPr>
          <w:rFonts w:ascii="Consolas" w:cs="Consolas" w:eastAsia="Consolas" w:hAnsi="Consolas"/>
          <w:color w:val="23303B"/>
          <w:sz w:val="17"/>
          <w:szCs w:val="17"/>
        </w:rPr>
        <w:t xml:space="preserve">             – 30/08    – 06/09    – 13/09    – 20/09    – 27/09</w:t>
      </w:r>
    </w:p>
    <w:p>
      <w:pPr>
        <w:spacing w:after="140" w:line="276"/>
      </w:pPr>
      <w:r>
        <w:rPr>
          <w:color w:val="5A6570"/>
          <w:sz w:val="20"/>
          <w:szCs w:val="20"/>
        </w:rPr>
        <w:t xml:space="preserve">Internamente las ventanas siguen siendo las mismas cinco de siete días: no cambió ningún cálculo, ningún importe ni la forma de repartir los vencimientos. Sólo cambió el rótulo.</w:t>
      </w:r>
    </w:p>
    <w:p>
      <w:pPr>
        <w:pStyle w:val="Heading3"/>
        <w:spacing w:after="90" w:before="180"/>
      </w:pPr>
      <w:r>
        <w:rPr>
          <w:b/>
          <w:bCs/>
          <w:color w:val="3C9BDD"/>
          <w:sz w:val="21"/>
          <w:szCs w:val="21"/>
        </w:rPr>
        <w:t xml:space="preserve">Dónde se aplicó</w:t>
      </w:r>
    </w:p>
    <w:p>
      <w:pPr>
        <w:spacing w:after="140" w:line="276"/>
      </w:pPr>
      <w:r>
        <w:rPr>
          <w:sz w:val="21"/>
          <w:szCs w:val="21"/>
        </w:rPr>
        <w:t xml:space="preserve">El documento pedía el formulario. Lo aplicamos en todo lugar donde aparecía W1, porque tener el formulario en W35 y el PDF en W1 habría sido peor que no cambiar nada:</w:t>
      </w:r>
    </w:p>
    <w:p>
      <w:pPr>
        <w:spacing w:after="40"/>
      </w:pPr>
    </w:p>
    <w:tbl>
      <w:tblPr>
        <w:tblW w:type="dxa" w:w="9360"/>
        <w:tblBorders>
          <w:top w:val="single" w:color="C8D2DC" w:sz="4"/>
          <w:left w:val="single" w:color="C8D2DC" w:sz="4"/>
          <w:bottom w:val="single" w:color="C8D2DC" w:sz="4"/>
          <w:right w:val="single" w:color="C8D2DC" w:sz="4"/>
          <w:insideH w:val="single" w:color="DCE4EC" w:sz="4"/>
          <w:insideV w:val="single" w:color="DCE4EC" w:sz="4"/>
        </w:tblBorders>
      </w:tblPr>
      <w:tblGrid>
        <w:gridCol w:w="3900"/>
        <w:gridCol w:w="1900"/>
        <w:gridCol w:w="3560"/>
      </w:tblGrid>
      <w:tr>
        <w:trPr>
          <w:cantSplit/>
          <w:tblHeader/>
        </w:trPr>
        <w:tc>
          <w:tcPr>
            <w:tcW w:type="dxa" w:w="3900"/>
            <w:shd w:fill="EAF3FB" w:val="clear"/>
            <w:tcMar>
              <w:top w:type="dxa" w:w="80"/>
              <w:left w:type="dxa" w:w="110"/>
              <w:bottom w:type="dxa" w:w="80"/>
              <w:right w:type="dxa" w:w="110"/>
            </w:tcMar>
          </w:tcPr>
          <w:p>
            <w:pPr>
              <w:spacing w:after="0" w:line="260"/>
            </w:pPr>
            <w:r>
              <w:rPr>
                <w:b/>
                <w:bCs/>
                <w:color w:val="1F3A5F"/>
                <w:sz w:val="19"/>
                <w:szCs w:val="19"/>
              </w:rPr>
              <w:t xml:space="preserve">Lugar</w:t>
            </w:r>
          </w:p>
        </w:tc>
        <w:tc>
          <w:tcPr>
            <w:tcW w:type="dxa" w:w="1900"/>
            <w:shd w:fill="EAF3FB" w:val="clear"/>
            <w:tcMar>
              <w:top w:type="dxa" w:w="80"/>
              <w:left w:type="dxa" w:w="110"/>
              <w:bottom w:type="dxa" w:w="80"/>
              <w:right w:type="dxa" w:w="110"/>
            </w:tcMar>
          </w:tcPr>
          <w:p>
            <w:pPr>
              <w:spacing w:after="0" w:line="260"/>
            </w:pPr>
            <w:r>
              <w:rPr>
                <w:b/>
                <w:bCs/>
                <w:color w:val="1F3A5F"/>
                <w:sz w:val="19"/>
                <w:szCs w:val="19"/>
              </w:rPr>
              <w:t xml:space="preserve">Antes</w:t>
            </w:r>
          </w:p>
        </w:tc>
        <w:tc>
          <w:tcPr>
            <w:tcW w:type="dxa" w:w="3560"/>
            <w:shd w:fill="EAF3FB" w:val="clear"/>
            <w:tcMar>
              <w:top w:type="dxa" w:w="80"/>
              <w:left w:type="dxa" w:w="110"/>
              <w:bottom w:type="dxa" w:w="80"/>
              <w:right w:type="dxa" w:w="110"/>
            </w:tcMar>
          </w:tcPr>
          <w:p>
            <w:pPr>
              <w:spacing w:after="0" w:line="260"/>
            </w:pPr>
            <w:r>
              <w:rPr>
                <w:b/>
                <w:bCs/>
                <w:color w:val="1F3A5F"/>
                <w:sz w:val="19"/>
                <w:szCs w:val="19"/>
              </w:rPr>
              <w:t xml:space="preserve">Ahora</w:t>
            </w:r>
          </w:p>
        </w:tc>
      </w:tr>
      <w:tr>
        <w:trPr>
          <w:cantSplit/>
        </w:trPr>
        <w:tc>
          <w:tcPr>
            <w:tcW w:type="dxa" w:w="3900"/>
            <w:tcMar>
              <w:top w:type="dxa" w:w="80"/>
              <w:left w:type="dxa" w:w="110"/>
              <w:bottom w:type="dxa" w:w="80"/>
              <w:right w:type="dxa" w:w="110"/>
            </w:tcMar>
          </w:tcPr>
          <w:p>
            <w:pPr>
              <w:spacing w:after="0" w:line="260"/>
            </w:pPr>
            <w:r>
              <w:rPr>
                <w:sz w:val="19"/>
                <w:szCs w:val="19"/>
              </w:rPr>
              <w:t xml:space="preserve">Las siete hojas del formulario (Clientes, N Venta, Otras Recaudaciones, Proveedores, O Compra, Proformas, Otros pagos)</w:t>
            </w:r>
          </w:p>
        </w:tc>
        <w:tc>
          <w:tcPr>
            <w:tcW w:type="dxa" w:w="1900"/>
            <w:tcMar>
              <w:top w:type="dxa" w:w="80"/>
              <w:left w:type="dxa" w:w="110"/>
              <w:bottom w:type="dxa" w:w="80"/>
              <w:right w:type="dxa" w:w="110"/>
            </w:tcMar>
          </w:tcPr>
          <w:p>
            <w:pPr>
              <w:spacing w:after="0" w:line="260"/>
            </w:pPr>
            <w:r>
              <w:rPr>
                <w:sz w:val="19"/>
                <w:szCs w:val="19"/>
              </w:rPr>
              <w:t xml:space="preserve">W1 … W5</w:t>
            </w:r>
          </w:p>
        </w:tc>
        <w:tc>
          <w:tcPr>
            <w:tcW w:type="dxa" w:w="3560"/>
            <w:tcMar>
              <w:top w:type="dxa" w:w="80"/>
              <w:left w:type="dxa" w:w="110"/>
              <w:bottom w:type="dxa" w:w="80"/>
              <w:right w:type="dxa" w:w="110"/>
            </w:tcMar>
          </w:tcPr>
          <w:p>
            <w:pPr>
              <w:spacing w:after="0" w:line="260"/>
            </w:pPr>
            <w:r>
              <w:rPr>
                <w:sz w:val="19"/>
                <w:szCs w:val="19"/>
              </w:rPr>
              <w:t xml:space="preserve">W35 … W39</w:t>
            </w:r>
          </w:p>
        </w:tc>
      </w:tr>
      <w:tr>
        <w:trPr>
          <w:cantSplit/>
        </w:trPr>
        <w:tc>
          <w:tcPr>
            <w:tcW w:type="dxa" w:w="3900"/>
            <w:shd w:fill="F5F7F9" w:val="clear"/>
            <w:tcMar>
              <w:top w:type="dxa" w:w="80"/>
              <w:left w:type="dxa" w:w="110"/>
              <w:bottom w:type="dxa" w:w="80"/>
              <w:right w:type="dxa" w:w="110"/>
            </w:tcMar>
          </w:tcPr>
          <w:p>
            <w:pPr>
              <w:spacing w:after="0" w:line="260"/>
            </w:pPr>
            <w:r>
              <w:rPr>
                <w:sz w:val="19"/>
                <w:szCs w:val="19"/>
              </w:rPr>
              <w:t xml:space="preserve">Pestaña Resumen</w:t>
            </w:r>
          </w:p>
        </w:tc>
        <w:tc>
          <w:tcPr>
            <w:tcW w:type="dxa" w:w="1900"/>
            <w:shd w:fill="F5F7F9" w:val="clear"/>
            <w:tcMar>
              <w:top w:type="dxa" w:w="80"/>
              <w:left w:type="dxa" w:w="110"/>
              <w:bottom w:type="dxa" w:w="80"/>
              <w:right w:type="dxa" w:w="110"/>
            </w:tcMar>
          </w:tcPr>
          <w:p>
            <w:pPr>
              <w:spacing w:after="0" w:line="260"/>
            </w:pPr>
            <w:r>
              <w:rPr>
                <w:sz w:val="19"/>
                <w:szCs w:val="19"/>
              </w:rPr>
              <w:t xml:space="preserve">W1 … W5</w:t>
            </w:r>
          </w:p>
        </w:tc>
        <w:tc>
          <w:tcPr>
            <w:tcW w:type="dxa" w:w="3560"/>
            <w:shd w:fill="F5F7F9" w:val="clear"/>
            <w:tcMar>
              <w:top w:type="dxa" w:w="80"/>
              <w:left w:type="dxa" w:w="110"/>
              <w:bottom w:type="dxa" w:w="80"/>
              <w:right w:type="dxa" w:w="110"/>
            </w:tcMar>
          </w:tcPr>
          <w:p>
            <w:pPr>
              <w:spacing w:after="0" w:line="260"/>
            </w:pPr>
            <w:r>
              <w:rPr>
                <w:sz w:val="19"/>
                <w:szCs w:val="19"/>
              </w:rPr>
              <w:t xml:space="preserve">W35 … W39, con el rango de fechas bajo cada número</w:t>
            </w:r>
          </w:p>
        </w:tc>
      </w:tr>
      <w:tr>
        <w:trPr>
          <w:cantSplit/>
        </w:trPr>
        <w:tc>
          <w:tcPr>
            <w:tcW w:type="dxa" w:w="3900"/>
            <w:tcMar>
              <w:top w:type="dxa" w:w="80"/>
              <w:left w:type="dxa" w:w="110"/>
              <w:bottom w:type="dxa" w:w="80"/>
              <w:right w:type="dxa" w:w="110"/>
            </w:tcMar>
          </w:tcPr>
          <w:p>
            <w:pPr>
              <w:spacing w:after="0" w:line="260"/>
            </w:pPr>
            <w:r>
              <w:rPr>
                <w:sz w:val="19"/>
                <w:szCs w:val="19"/>
              </w:rPr>
              <w:t xml:space="preserve">Exportar PDF</w:t>
            </w:r>
          </w:p>
        </w:tc>
        <w:tc>
          <w:tcPr>
            <w:tcW w:type="dxa" w:w="1900"/>
            <w:tcMar>
              <w:top w:type="dxa" w:w="80"/>
              <w:left w:type="dxa" w:w="110"/>
              <w:bottom w:type="dxa" w:w="80"/>
              <w:right w:type="dxa" w:w="110"/>
            </w:tcMar>
          </w:tcPr>
          <w:p>
            <w:pPr>
              <w:spacing w:after="0" w:line="260"/>
            </w:pPr>
            <w:r>
              <w:rPr>
                <w:sz w:val="19"/>
                <w:szCs w:val="19"/>
              </w:rPr>
              <w:t xml:space="preserve">W1 … W5</w:t>
            </w:r>
          </w:p>
        </w:tc>
        <w:tc>
          <w:tcPr>
            <w:tcW w:type="dxa" w:w="3560"/>
            <w:tcMar>
              <w:top w:type="dxa" w:w="80"/>
              <w:left w:type="dxa" w:w="110"/>
              <w:bottom w:type="dxa" w:w="80"/>
              <w:right w:type="dxa" w:w="110"/>
            </w:tcMar>
          </w:tcPr>
          <w:p>
            <w:pPr>
              <w:spacing w:after="0" w:line="260"/>
            </w:pPr>
            <w:r>
              <w:rPr>
                <w:sz w:val="19"/>
                <w:szCs w:val="19"/>
              </w:rPr>
              <w:t xml:space="preserve">W35 … W39, con el rango de fechas</w:t>
            </w:r>
          </w:p>
        </w:tc>
      </w:tr>
      <w:tr>
        <w:trPr>
          <w:cantSplit/>
        </w:trPr>
        <w:tc>
          <w:tcPr>
            <w:tcW w:type="dxa" w:w="3900"/>
            <w:shd w:fill="F5F7F9" w:val="clear"/>
            <w:tcMar>
              <w:top w:type="dxa" w:w="80"/>
              <w:left w:type="dxa" w:w="110"/>
              <w:bottom w:type="dxa" w:w="80"/>
              <w:right w:type="dxa" w:w="110"/>
            </w:tcMar>
          </w:tcPr>
          <w:p>
            <w:pPr>
              <w:spacing w:after="0" w:line="260"/>
            </w:pPr>
            <w:r>
              <w:rPr>
                <w:sz w:val="19"/>
                <w:szCs w:val="19"/>
              </w:rPr>
              <w:t xml:space="preserve">Exportar XLSX (hoja Resumen y columna de la hoja Detalle)</w:t>
            </w:r>
          </w:p>
        </w:tc>
        <w:tc>
          <w:tcPr>
            <w:tcW w:type="dxa" w:w="1900"/>
            <w:shd w:fill="F5F7F9" w:val="clear"/>
            <w:tcMar>
              <w:top w:type="dxa" w:w="80"/>
              <w:left w:type="dxa" w:w="110"/>
              <w:bottom w:type="dxa" w:w="80"/>
              <w:right w:type="dxa" w:w="110"/>
            </w:tcMar>
          </w:tcPr>
          <w:p>
            <w:pPr>
              <w:spacing w:after="0" w:line="260"/>
            </w:pPr>
            <w:r>
              <w:rPr>
                <w:sz w:val="19"/>
                <w:szCs w:val="19"/>
              </w:rPr>
              <w:t xml:space="preserve">W1 … W5 / «Cubeta»</w:t>
            </w:r>
          </w:p>
        </w:tc>
        <w:tc>
          <w:tcPr>
            <w:tcW w:type="dxa" w:w="3560"/>
            <w:shd w:fill="F5F7F9" w:val="clear"/>
            <w:tcMar>
              <w:top w:type="dxa" w:w="80"/>
              <w:left w:type="dxa" w:w="110"/>
              <w:bottom w:type="dxa" w:w="80"/>
              <w:right w:type="dxa" w:w="110"/>
            </w:tcMar>
          </w:tcPr>
          <w:p>
            <w:pPr>
              <w:spacing w:after="0" w:line="260"/>
            </w:pPr>
            <w:r>
              <w:rPr>
                <w:sz w:val="19"/>
                <w:szCs w:val="19"/>
              </w:rPr>
              <w:t xml:space="preserve">W35 … W39 / «Semana»</w:t>
            </w:r>
          </w:p>
        </w:tc>
      </w:tr>
      <w:tr>
        <w:trPr>
          <w:cantSplit/>
        </w:trPr>
        <w:tc>
          <w:tcPr>
            <w:tcW w:type="dxa" w:w="3900"/>
            <w:tcMar>
              <w:top w:type="dxa" w:w="80"/>
              <w:left w:type="dxa" w:w="110"/>
              <w:bottom w:type="dxa" w:w="80"/>
              <w:right w:type="dxa" w:w="110"/>
            </w:tcMar>
          </w:tcPr>
          <w:p>
            <w:pPr>
              <w:spacing w:after="0" w:line="260"/>
            </w:pPr>
            <w:r>
              <w:rPr>
                <w:sz w:val="19"/>
                <w:szCs w:val="19"/>
              </w:rPr>
              <w:t xml:space="preserve">Portada de Tesorería (tarjetas y gráfico de saldo acumulado)</w:t>
            </w:r>
          </w:p>
        </w:tc>
        <w:tc>
          <w:tcPr>
            <w:tcW w:type="dxa" w:w="1900"/>
            <w:tcMar>
              <w:top w:type="dxa" w:w="80"/>
              <w:left w:type="dxa" w:w="110"/>
              <w:bottom w:type="dxa" w:w="80"/>
              <w:right w:type="dxa" w:w="110"/>
            </w:tcMar>
          </w:tcPr>
          <w:p>
            <w:pPr>
              <w:spacing w:after="0" w:line="260"/>
            </w:pPr>
            <w:r>
              <w:rPr>
                <w:sz w:val="19"/>
                <w:szCs w:val="19"/>
              </w:rPr>
              <w:t xml:space="preserve">W1 … W5</w:t>
            </w:r>
          </w:p>
        </w:tc>
        <w:tc>
          <w:tcPr>
            <w:tcW w:type="dxa" w:w="3560"/>
            <w:tcMar>
              <w:top w:type="dxa" w:w="80"/>
              <w:left w:type="dxa" w:w="110"/>
              <w:bottom w:type="dxa" w:w="80"/>
              <w:right w:type="dxa" w:w="110"/>
            </w:tcMar>
          </w:tcPr>
          <w:p>
            <w:pPr>
              <w:spacing w:after="0" w:line="260"/>
            </w:pPr>
            <w:r>
              <w:rPr>
                <w:sz w:val="19"/>
                <w:szCs w:val="19"/>
              </w:rPr>
              <w:t xml:space="preserve">W35 … W39</w:t>
            </w:r>
          </w:p>
        </w:tc>
      </w:tr>
      <w:tr>
        <w:trPr>
          <w:cantSplit/>
        </w:trPr>
        <w:tc>
          <w:tcPr>
            <w:tcW w:type="dxa" w:w="3900"/>
            <w:shd w:fill="F5F7F9" w:val="clear"/>
            <w:tcMar>
              <w:top w:type="dxa" w:w="80"/>
              <w:left w:type="dxa" w:w="110"/>
              <w:bottom w:type="dxa" w:w="80"/>
              <w:right w:type="dxa" w:w="110"/>
            </w:tcMar>
          </w:tcPr>
          <w:p>
            <w:pPr>
              <w:spacing w:after="0" w:line="260"/>
            </w:pPr>
            <w:r>
              <w:rPr>
                <w:sz w:val="19"/>
                <w:szCs w:val="19"/>
              </w:rPr>
              <w:t xml:space="preserve">Detalle de líneas: nueva columna y agrupador «Semana»</w:t>
            </w:r>
          </w:p>
        </w:tc>
        <w:tc>
          <w:tcPr>
            <w:tcW w:type="dxa" w:w="1900"/>
            <w:shd w:fill="F5F7F9" w:val="clear"/>
            <w:tcMar>
              <w:top w:type="dxa" w:w="80"/>
              <w:left w:type="dxa" w:w="110"/>
              <w:bottom w:type="dxa" w:w="80"/>
              <w:right w:type="dxa" w:w="110"/>
            </w:tcMar>
          </w:tcPr>
          <w:p>
            <w:pPr>
              <w:spacing w:after="0" w:line="260"/>
            </w:pPr>
            <w:r>
              <w:rPr>
                <w:sz w:val="19"/>
                <w:szCs w:val="19"/>
              </w:rPr>
              <w:t xml:space="preserve">no existía</w:t>
            </w:r>
          </w:p>
        </w:tc>
        <w:tc>
          <w:tcPr>
            <w:tcW w:type="dxa" w:w="3560"/>
            <w:shd w:fill="F5F7F9" w:val="clear"/>
            <w:tcMar>
              <w:top w:type="dxa" w:w="80"/>
              <w:left w:type="dxa" w:w="110"/>
              <w:bottom w:type="dxa" w:w="80"/>
              <w:right w:type="dxa" w:w="110"/>
            </w:tcMar>
          </w:tcPr>
          <w:p>
            <w:pPr>
              <w:spacing w:after="0" w:line="260"/>
            </w:pPr>
            <w:r>
              <w:rPr>
                <w:sz w:val="19"/>
                <w:szCs w:val="19"/>
              </w:rPr>
              <w:t xml:space="preserve">W35 … W39</w:t>
            </w:r>
          </w:p>
        </w:tc>
      </w:tr>
    </w:tbl>
    <w:p>
      <w:pPr>
        <w:pStyle w:val="Heading3"/>
        <w:spacing w:after="90" w:before="180"/>
      </w:pPr>
      <w:r>
        <w:rPr>
          <w:b/>
          <w:bCs/>
          <w:color w:val="3C9BDD"/>
          <w:sz w:val="21"/>
          <w:szCs w:val="21"/>
        </w:rPr>
        <w:t xml:space="preserve">Cómo se calcula, y el detalle del lunes</w:t>
      </w:r>
    </w:p>
    <w:p>
      <w:pPr>
        <w:spacing w:after="140" w:line="276"/>
      </w:pPr>
      <w:r>
        <w:rPr>
          <w:sz w:val="21"/>
          <w:szCs w:val="21"/>
        </w:rPr>
        <w:t xml:space="preserve">Se usa la semana ISO-8601, la misma que usa Odoo y la que aparece en los calendarios: empieza en lunes, y la semana 1 del año es la que contiene el 4 de enero.</w:t>
      </w:r>
    </w:p>
    <w:p>
      <w:pPr>
        <w:spacing w:after="140" w:line="276"/>
      </w:pPr>
      <w:r>
        <w:rPr>
          <w:sz w:val="21"/>
          <w:szCs w:val="21"/>
        </w:rPr>
        <w:t xml:space="preserve">Si el horizonte no empieza en lunes, la ventana de siete días cruza dos semanas del calendario, y manda la del primer día. Por ejemplo, un flujo que arranca un miércoles rotula «W35» una ventana que va de miércoles a martes. </w:t>
      </w:r>
      <w:r>
        <w:rPr>
          <w:b/>
          <w:bCs/>
          <w:sz w:val="21"/>
          <w:szCs w:val="21"/>
        </w:rPr>
        <w:t xml:space="preserve">Para que ventana y semana calendario coincidan exactamente, el horizonte debe empezar en lunes.</w:t>
      </w:r>
    </w:p>
    <w:p>
      <w:pPr>
        <w:pStyle w:val="Heading1"/>
        <w:pBdr>
          <w:bottom w:val="single" w:color="3C9BDD" w:sz="8" w:space="6"/>
        </w:pBdr>
        <w:spacing w:after="180" w:before="360"/>
      </w:pPr>
      <w:r>
        <w:rPr>
          <w:b/>
          <w:bCs/>
          <w:color w:val="1F3A5F"/>
          <w:sz w:val="30"/>
          <w:szCs w:val="30"/>
        </w:rPr>
        <w:t xml:space="preserve">4. Cómo comprobarlo usted mismo</w:t>
      </w:r>
    </w:p>
    <w:p>
      <w:pPr>
        <w:pStyle w:val="ListParagraph"/>
        <w:numPr>
          <w:ilvl w:val="0"/>
          <w:numId w:val="4"/>
        </w:numPr>
        <w:spacing w:after="100" w:line="276"/>
      </w:pPr>
      <w:r>
        <w:rPr>
          <w:sz w:val="21"/>
          <w:szCs w:val="21"/>
        </w:rPr>
        <w:t xml:space="preserve">En el selector de aplicaciones —el ícono de cuadrícula arriba a la izquierda— debe aparecer una baldosa verde «Tesorería». Al entrar, la barra superior dice Tesorería y ya no Facturando.</w:t>
      </w:r>
    </w:p>
    <w:p>
      <w:pPr>
        <w:pStyle w:val="ListParagraph"/>
        <w:numPr>
          <w:ilvl w:val="0"/>
          <w:numId w:val="4"/>
        </w:numPr>
        <w:spacing w:after="100" w:line="276"/>
      </w:pPr>
      <w:r>
        <w:rPr>
          <w:sz w:val="21"/>
          <w:szCs w:val="21"/>
        </w:rPr>
        <w:t xml:space="preserve">Entre a Tesorería → Planificación → Flujos de Caja y abra un flujo.</w:t>
      </w:r>
    </w:p>
    <w:p>
      <w:pPr>
        <w:pStyle w:val="ListParagraph"/>
        <w:numPr>
          <w:ilvl w:val="0"/>
          <w:numId w:val="4"/>
        </w:numPr>
        <w:spacing w:after="100" w:line="276"/>
      </w:pPr>
      <w:r>
        <w:rPr>
          <w:sz w:val="21"/>
          <w:szCs w:val="21"/>
        </w:rPr>
        <w:t xml:space="preserve">En cualquiera de las siete pestañas de detalle, las columnas de semana deben decir la semana del calendario. En la pestaña Resumen, además, el rango de fechas bajo cada número.</w:t>
      </w:r>
    </w:p>
    <w:p>
      <w:pPr>
        <w:pStyle w:val="ListParagraph"/>
        <w:numPr>
          <w:ilvl w:val="0"/>
          <w:numId w:val="4"/>
        </w:numPr>
        <w:spacing w:after="100" w:line="276"/>
      </w:pPr>
      <w:r>
        <w:rPr>
          <w:sz w:val="21"/>
          <w:szCs w:val="21"/>
        </w:rPr>
        <w:t xml:space="preserve">Cambie la fecha de «Inicio del horizonte» y confirme que los rótulos se mueven solos.</w:t>
      </w:r>
    </w:p>
    <w:p>
      <w:pPr>
        <w:pStyle w:val="ListParagraph"/>
        <w:numPr>
          <w:ilvl w:val="0"/>
          <w:numId w:val="4"/>
        </w:numPr>
        <w:spacing w:after="100" w:line="276"/>
      </w:pPr>
      <w:r>
        <w:rPr>
          <w:sz w:val="21"/>
          <w:szCs w:val="21"/>
        </w:rPr>
        <w:t xml:space="preserve">Exporte a PDF y a XLSX: deben decir lo mismo que la pantalla.</w:t>
      </w:r>
    </w:p>
    <w:p>
      <w:pPr>
        <w:spacing w:after="60"/>
      </w:pPr>
    </w:p>
    <w:tbl>
      <w:tblPr>
        <w:tblW w:type="dxa" w:w="9360"/>
        <w:tblBorders>
          <w:top w:val="single" w:color="3C9BDD" w:sz="4"/>
          <w:left w:val="single" w:color="3C9BDD" w:sz="18"/>
          <w:bottom w:val="single" w:color="3C9BDD" w:sz="4"/>
          <w:right w:val="single" w:color="3C9BDD" w:sz="4"/>
          <w:insideH w:val="none"/>
          <w:insideV w:val="none"/>
        </w:tblBorders>
      </w:tblPr>
      <w:tblGrid>
        <w:gridCol w:w="9360"/>
      </w:tblGrid>
      <w:tr>
        <w:trPr>
          <w:cantSplit/>
        </w:trPr>
        <w:tc>
          <w:tcPr>
            <w:tcW w:type="dxa" w:w="9360"/>
            <w:shd w:fill="EAF3FB" w:val="clear"/>
            <w:tcMar>
              <w:top w:type="dxa" w:w="140"/>
              <w:left w:type="dxa" w:w="180"/>
              <w:bottom w:type="dxa" w:w="140"/>
              <w:right w:type="dxa" w:w="180"/>
            </w:tcMar>
          </w:tcPr>
          <w:p>
            <w:pPr>
              <w:spacing w:after="60"/>
            </w:pPr>
            <w:r>
              <w:rPr>
                <w:b/>
                <w:bCs/>
                <w:color w:val="1F3A5F"/>
                <w:sz w:val="20"/>
                <w:szCs w:val="20"/>
              </w:rPr>
              <w:t xml:space="preserve">Un flujo que ya sirve para mirar</w:t>
            </w:r>
          </w:p>
          <w:p>
            <w:pPr>
              <w:spacing w:after="0" w:line="276"/>
            </w:pPr>
            <w:r>
              <w:rPr>
                <w:sz w:val="20"/>
                <w:szCs w:val="20"/>
              </w:rPr>
              <w:t xml:space="preserve">En Desarrollo, el flujo FC20260001 empieza el 29/08/2026 y por lo tanto muestra exactamente W35, W36, W37, W38 y W39 — el mismo ejemplo de su documento. En Demo todavía no hay ningún flujo de caja cargado; hay que crear uno para ver las columnas con datos.</w:t>
            </w:r>
          </w:p>
        </w:tc>
      </w:tr>
    </w:tbl>
    <w:p>
      <w:pPr>
        <w:pStyle w:val="Heading1"/>
        <w:pBdr>
          <w:bottom w:val="single" w:color="3C9BDD" w:sz="8" w:space="6"/>
        </w:pBdr>
        <w:spacing w:after="180" w:before="360"/>
      </w:pPr>
      <w:r>
        <w:rPr>
          <w:b/>
          <w:bCs/>
          <w:color w:val="1F3A5F"/>
          <w:sz w:val="30"/>
          <w:szCs w:val="30"/>
        </w:rPr>
        <w:t xml:space="preserve">5. Dónde quedó desplegado</w:t>
      </w:r>
    </w:p>
    <w:tbl>
      <w:tblPr>
        <w:tblW w:type="dxa" w:w="9360"/>
        <w:tblBorders>
          <w:top w:val="single" w:color="C8D2DC" w:sz="4"/>
          <w:left w:val="single" w:color="C8D2DC" w:sz="4"/>
          <w:bottom w:val="single" w:color="C8D2DC" w:sz="4"/>
          <w:right w:val="single" w:color="C8D2DC" w:sz="4"/>
          <w:insideH w:val="single" w:color="DCE4EC" w:sz="4"/>
          <w:insideV w:val="single" w:color="DCE4EC" w:sz="4"/>
        </w:tblBorders>
      </w:tblPr>
      <w:tblGrid>
        <w:gridCol w:w="1900"/>
        <w:gridCol w:w="2900"/>
        <w:gridCol w:w="2060"/>
        <w:gridCol w:w="2500"/>
      </w:tblGrid>
      <w:tr>
        <w:trPr>
          <w:cantSplit/>
          <w:tblHeader/>
        </w:trPr>
        <w:tc>
          <w:tcPr>
            <w:tcW w:type="dxa" w:w="1900"/>
            <w:shd w:fill="EAF3FB" w:val="clear"/>
            <w:tcMar>
              <w:top w:type="dxa" w:w="80"/>
              <w:left w:type="dxa" w:w="110"/>
              <w:bottom w:type="dxa" w:w="80"/>
              <w:right w:type="dxa" w:w="110"/>
            </w:tcMar>
          </w:tcPr>
          <w:p>
            <w:pPr>
              <w:spacing w:after="0" w:line="260"/>
            </w:pPr>
            <w:r>
              <w:rPr>
                <w:b/>
                <w:bCs/>
                <w:color w:val="1F3A5F"/>
                <w:sz w:val="19"/>
                <w:szCs w:val="19"/>
              </w:rPr>
              <w:t xml:space="preserve">Ambiente</w:t>
            </w:r>
          </w:p>
        </w:tc>
        <w:tc>
          <w:tcPr>
            <w:tcW w:type="dxa" w:w="2900"/>
            <w:shd w:fill="EAF3FB" w:val="clear"/>
            <w:tcMar>
              <w:top w:type="dxa" w:w="80"/>
              <w:left w:type="dxa" w:w="110"/>
              <w:bottom w:type="dxa" w:w="80"/>
              <w:right w:type="dxa" w:w="110"/>
            </w:tcMar>
          </w:tcPr>
          <w:p>
            <w:pPr>
              <w:spacing w:after="0" w:line="260"/>
            </w:pPr>
            <w:r>
              <w:rPr>
                <w:b/>
                <w:bCs/>
                <w:color w:val="1F3A5F"/>
                <w:sz w:val="19"/>
                <w:szCs w:val="19"/>
              </w:rPr>
              <w:t xml:space="preserve">Dirección</w:t>
            </w:r>
          </w:p>
        </w:tc>
        <w:tc>
          <w:tcPr>
            <w:tcW w:type="dxa" w:w="2060"/>
            <w:shd w:fill="EAF3FB" w:val="clear"/>
            <w:tcMar>
              <w:top w:type="dxa" w:w="80"/>
              <w:left w:type="dxa" w:w="110"/>
              <w:bottom w:type="dxa" w:w="80"/>
              <w:right w:type="dxa" w:w="110"/>
            </w:tcMar>
          </w:tcPr>
          <w:p>
            <w:pPr>
              <w:spacing w:after="0" w:line="260"/>
            </w:pPr>
            <w:r>
              <w:rPr>
                <w:b/>
                <w:bCs/>
                <w:color w:val="1F3A5F"/>
                <w:sz w:val="19"/>
                <w:szCs w:val="19"/>
              </w:rPr>
              <w:t xml:space="preserve">Versión</w:t>
            </w:r>
          </w:p>
        </w:tc>
        <w:tc>
          <w:tcPr>
            <w:tcW w:type="dxa" w:w="2500"/>
            <w:shd w:fill="EAF3FB" w:val="clear"/>
            <w:tcMar>
              <w:top w:type="dxa" w:w="80"/>
              <w:left w:type="dxa" w:w="110"/>
              <w:bottom w:type="dxa" w:w="80"/>
              <w:right w:type="dxa" w:w="110"/>
            </w:tcMar>
          </w:tcPr>
          <w:p>
            <w:pPr>
              <w:spacing w:after="0" w:line="260"/>
            </w:pPr>
            <w:r>
              <w:rPr>
                <w:b/>
                <w:bCs/>
                <w:color w:val="1F3A5F"/>
                <w:sz w:val="19"/>
                <w:szCs w:val="19"/>
              </w:rPr>
              <w:t xml:space="preserve">Estado</w:t>
            </w:r>
          </w:p>
        </w:tc>
      </w:tr>
      <w:tr>
        <w:trPr>
          <w:cantSplit/>
        </w:trPr>
        <w:tc>
          <w:tcPr>
            <w:tcW w:type="dxa" w:w="1900"/>
            <w:tcMar>
              <w:top w:type="dxa" w:w="80"/>
              <w:left w:type="dxa" w:w="110"/>
              <w:bottom w:type="dxa" w:w="80"/>
              <w:right w:type="dxa" w:w="110"/>
            </w:tcMar>
          </w:tcPr>
          <w:p>
            <w:pPr>
              <w:spacing w:after="0" w:line="260"/>
            </w:pPr>
            <w:r>
              <w:rPr>
                <w:sz w:val="19"/>
                <w:szCs w:val="19"/>
              </w:rPr>
              <w:t xml:space="preserve">Demo</w:t>
            </w:r>
          </w:p>
        </w:tc>
        <w:tc>
          <w:tcPr>
            <w:tcW w:type="dxa" w:w="2900"/>
            <w:tcMar>
              <w:top w:type="dxa" w:w="80"/>
              <w:left w:type="dxa" w:w="110"/>
              <w:bottom w:type="dxa" w:w="80"/>
              <w:right w:type="dxa" w:w="110"/>
            </w:tcMar>
          </w:tcPr>
          <w:p>
            <w:pPr>
              <w:spacing w:after="0" w:line="260"/>
            </w:pPr>
            <w:r>
              <w:rPr>
                <w:sz w:val="19"/>
                <w:szCs w:val="19"/>
              </w:rPr>
              <w:t xml:space="preserve">demo.stepsapp.cl</w:t>
            </w:r>
          </w:p>
        </w:tc>
        <w:tc>
          <w:tcPr>
            <w:tcW w:type="dxa" w:w="2060"/>
            <w:tcMar>
              <w:top w:type="dxa" w:w="80"/>
              <w:left w:type="dxa" w:w="110"/>
              <w:bottom w:type="dxa" w:w="80"/>
              <w:right w:type="dxa" w:w="110"/>
            </w:tcMar>
          </w:tcPr>
          <w:p>
            <w:pPr>
              <w:spacing w:after="0" w:line="260"/>
            </w:pPr>
            <w:r>
              <w:rPr>
                <w:sz w:val="19"/>
                <w:szCs w:val="19"/>
              </w:rPr>
              <w:t xml:space="preserve">18.0.1.2.0</w:t>
            </w:r>
          </w:p>
        </w:tc>
        <w:tc>
          <w:tcPr>
            <w:tcW w:type="dxa" w:w="2500"/>
            <w:tcMar>
              <w:top w:type="dxa" w:w="80"/>
              <w:left w:type="dxa" w:w="110"/>
              <w:bottom w:type="dxa" w:w="80"/>
              <w:right w:type="dxa" w:w="110"/>
            </w:tcMar>
          </w:tcPr>
          <w:p>
            <w:pPr>
              <w:spacing w:after="0" w:line="260"/>
            </w:pPr>
            <w:r>
              <w:rPr>
                <w:sz w:val="19"/>
                <w:szCs w:val="19"/>
              </w:rPr>
              <w:t xml:space="preserve">Instalado, servicio activo</w:t>
            </w:r>
          </w:p>
        </w:tc>
      </w:tr>
      <w:tr>
        <w:trPr>
          <w:cantSplit/>
        </w:trPr>
        <w:tc>
          <w:tcPr>
            <w:tcW w:type="dxa" w:w="1900"/>
            <w:shd w:fill="F5F7F9" w:val="clear"/>
            <w:tcMar>
              <w:top w:type="dxa" w:w="80"/>
              <w:left w:type="dxa" w:w="110"/>
              <w:bottom w:type="dxa" w:w="80"/>
              <w:right w:type="dxa" w:w="110"/>
            </w:tcMar>
          </w:tcPr>
          <w:p>
            <w:pPr>
              <w:spacing w:after="0" w:line="260"/>
            </w:pPr>
            <w:r>
              <w:rPr>
                <w:sz w:val="19"/>
                <w:szCs w:val="19"/>
              </w:rPr>
              <w:t xml:space="preserve">Desarrollo</w:t>
            </w:r>
          </w:p>
        </w:tc>
        <w:tc>
          <w:tcPr>
            <w:tcW w:type="dxa" w:w="2900"/>
            <w:shd w:fill="F5F7F9" w:val="clear"/>
            <w:tcMar>
              <w:top w:type="dxa" w:w="80"/>
              <w:left w:type="dxa" w:w="110"/>
              <w:bottom w:type="dxa" w:w="80"/>
              <w:right w:type="dxa" w:w="110"/>
            </w:tcMar>
          </w:tcPr>
          <w:p>
            <w:pPr>
              <w:spacing w:after="0" w:line="260"/>
            </w:pPr>
            <w:r>
              <w:rPr>
                <w:sz w:val="19"/>
                <w:szCs w:val="19"/>
              </w:rPr>
              <w:t xml:space="preserve">desarrollo.stepsapp.cl</w:t>
            </w:r>
          </w:p>
        </w:tc>
        <w:tc>
          <w:tcPr>
            <w:tcW w:type="dxa" w:w="2060"/>
            <w:shd w:fill="F5F7F9" w:val="clear"/>
            <w:tcMar>
              <w:top w:type="dxa" w:w="80"/>
              <w:left w:type="dxa" w:w="110"/>
              <w:bottom w:type="dxa" w:w="80"/>
              <w:right w:type="dxa" w:w="110"/>
            </w:tcMar>
          </w:tcPr>
          <w:p>
            <w:pPr>
              <w:spacing w:after="0" w:line="260"/>
            </w:pPr>
            <w:r>
              <w:rPr>
                <w:sz w:val="19"/>
                <w:szCs w:val="19"/>
              </w:rPr>
              <w:t xml:space="preserve">18.0.1.2.0</w:t>
            </w:r>
          </w:p>
        </w:tc>
        <w:tc>
          <w:tcPr>
            <w:tcW w:type="dxa" w:w="2500"/>
            <w:shd w:fill="F5F7F9" w:val="clear"/>
            <w:tcMar>
              <w:top w:type="dxa" w:w="80"/>
              <w:left w:type="dxa" w:w="110"/>
              <w:bottom w:type="dxa" w:w="80"/>
              <w:right w:type="dxa" w:w="110"/>
            </w:tcMar>
          </w:tcPr>
          <w:p>
            <w:pPr>
              <w:spacing w:after="0" w:line="260"/>
            </w:pPr>
            <w:r>
              <w:rPr>
                <w:sz w:val="19"/>
                <w:szCs w:val="19"/>
              </w:rPr>
              <w:t xml:space="preserve">Instalado, servicio activo</w:t>
            </w:r>
          </w:p>
        </w:tc>
      </w:tr>
      <w:tr>
        <w:trPr>
          <w:cantSplit/>
        </w:trPr>
        <w:tc>
          <w:tcPr>
            <w:tcW w:type="dxa" w:w="1900"/>
            <w:tcMar>
              <w:top w:type="dxa" w:w="80"/>
              <w:left w:type="dxa" w:w="110"/>
              <w:bottom w:type="dxa" w:w="80"/>
              <w:right w:type="dxa" w:w="110"/>
            </w:tcMar>
          </w:tcPr>
          <w:p>
            <w:pPr>
              <w:spacing w:after="0" w:line="260"/>
            </w:pPr>
            <w:r>
              <w:rPr>
                <w:sz w:val="19"/>
                <w:szCs w:val="19"/>
              </w:rPr>
              <w:t xml:space="preserve">Producción</w:t>
            </w:r>
          </w:p>
        </w:tc>
        <w:tc>
          <w:tcPr>
            <w:tcW w:type="dxa" w:w="2900"/>
            <w:tcMar>
              <w:top w:type="dxa" w:w="80"/>
              <w:left w:type="dxa" w:w="110"/>
              <w:bottom w:type="dxa" w:w="80"/>
              <w:right w:type="dxa" w:w="110"/>
            </w:tcMar>
          </w:tcPr>
          <w:p>
            <w:pPr>
              <w:spacing w:after="0" w:line="260"/>
            </w:pPr>
            <w:r>
              <w:rPr>
                <w:sz w:val="19"/>
                <w:szCs w:val="19"/>
              </w:rPr>
              <w:t xml:space="preserve">stepsapp.cl</w:t>
            </w:r>
          </w:p>
        </w:tc>
        <w:tc>
          <w:tcPr>
            <w:tcW w:type="dxa" w:w="2060"/>
            <w:tcMar>
              <w:top w:type="dxa" w:w="80"/>
              <w:left w:type="dxa" w:w="110"/>
              <w:bottom w:type="dxa" w:w="80"/>
              <w:right w:type="dxa" w:w="110"/>
            </w:tcMar>
          </w:tcPr>
          <w:p>
            <w:pPr>
              <w:spacing w:after="0" w:line="260"/>
            </w:pPr>
            <w:r>
              <w:rPr>
                <w:sz w:val="19"/>
                <w:szCs w:val="19"/>
              </w:rPr>
              <w:t xml:space="preserve">—</w:t>
            </w:r>
          </w:p>
        </w:tc>
        <w:tc>
          <w:tcPr>
            <w:tcW w:type="dxa" w:w="2500"/>
            <w:tcMar>
              <w:top w:type="dxa" w:w="80"/>
              <w:left w:type="dxa" w:w="110"/>
              <w:bottom w:type="dxa" w:w="80"/>
              <w:right w:type="dxa" w:w="110"/>
            </w:tcMar>
          </w:tcPr>
          <w:p>
            <w:pPr>
              <w:spacing w:after="0" w:line="260"/>
            </w:pPr>
            <w:r>
              <w:rPr>
                <w:sz w:val="19"/>
                <w:szCs w:val="19"/>
              </w:rPr>
              <w:t xml:space="preserve">No se tocó</w:t>
            </w:r>
          </w:p>
        </w:tc>
      </w:tr>
    </w:tbl>
    <w:p>
      <w:pPr>
        <w:spacing w:after="140"/>
      </w:pPr>
    </w:p>
    <w:p>
      <w:pPr>
        <w:spacing w:after="140" w:line="276"/>
      </w:pPr>
      <w:r>
        <w:rPr>
          <w:sz w:val="21"/>
          <w:szCs w:val="21"/>
        </w:rPr>
        <w:t xml:space="preserve">Tesorería no está instalada en Producción, así que el cambio no la alcanza. Antes de desplegar se respaldaron ambas bases completas y ambas copias del módulo:</w:t>
      </w:r>
    </w:p>
    <w:p>
      <w:pPr>
        <w:shd w:fill="F5F7F9" w:val="clear"/>
        <w:spacing w:after="160" w:line="240"/>
        <w:ind w:left="260"/>
      </w:pPr>
      <w:r>
        <w:rPr>
          <w:rFonts w:ascii="Consolas" w:cs="Consolas" w:eastAsia="Consolas" w:hAnsi="Consolas"/>
          <w:color w:val="23303B"/>
          <w:sz w:val="17"/>
          <w:szCs w:val="17"/>
        </w:rPr>
        <w:t xml:space="preserve">  /opt/fernando_odoo18/backups/tesoreria-correcciones1-20260830-005827</w:t>
      </w:r>
    </w:p>
    <w:p>
      <w:pPr>
        <w:spacing w:after="140" w:line="276"/>
      </w:pPr>
      <w:r>
        <w:rPr>
          <w:sz w:val="21"/>
          <w:szCs w:val="21"/>
        </w:rPr>
        <w:t xml:space="preserve">La comparación previa mostró exactamente once archivos afectados —nueve modificados y dos nuevos, el icono y el archivo de rótulos— sin borrados ni archivos ajenos al módulo.</w:t>
      </w:r>
    </w:p>
    <w:p>
      <w:pPr>
        <w:pStyle w:val="Heading3"/>
        <w:spacing w:after="90" w:before="180"/>
      </w:pPr>
      <w:r>
        <w:rPr>
          <w:b/>
          <w:bCs/>
          <w:color w:val="3C9BDD"/>
          <w:sz w:val="21"/>
          <w:szCs w:val="21"/>
        </w:rPr>
        <w:t xml:space="preserve">Pruebas</w:t>
      </w:r>
    </w:p>
    <w:p>
      <w:pPr>
        <w:spacing w:after="140" w:line="276"/>
      </w:pPr>
      <w:r>
        <w:rPr>
          <w:sz w:val="21"/>
          <w:szCs w:val="21"/>
        </w:rPr>
        <w:t xml:space="preserve">Sobre una base desechable creada desde cero y eliminada al terminar:</w:t>
      </w:r>
    </w:p>
    <w:p>
      <w:pPr>
        <w:shd w:fill="F5F7F9" w:val="clear"/>
        <w:spacing w:after="0" w:line="240"/>
        <w:ind w:left="260"/>
      </w:pPr>
      <w:r>
        <w:rPr>
          <w:rFonts w:ascii="Consolas" w:cs="Consolas" w:eastAsia="Consolas" w:hAnsi="Consolas"/>
          <w:color w:val="23303B"/>
          <w:sz w:val="17"/>
          <w:szCs w:val="17"/>
        </w:rPr>
        <w:t xml:space="preserve">  step_account_treasury: 60 tests</w:t>
      </w:r>
    </w:p>
    <w:p>
      <w:pPr>
        <w:shd w:fill="F5F7F9" w:val="clear"/>
        <w:spacing w:after="160" w:line="240"/>
        <w:ind w:left="260"/>
      </w:pPr>
      <w:r>
        <w:rPr>
          <w:rFonts w:ascii="Consolas" w:cs="Consolas" w:eastAsia="Consolas" w:hAnsi="Consolas"/>
          <w:color w:val="23303B"/>
          <w:sz w:val="17"/>
          <w:szCs w:val="17"/>
        </w:rPr>
        <w:t xml:space="preserve">  0 failed, 0 error(s)</w:t>
      </w:r>
    </w:p>
    <w:p>
      <w:pPr>
        <w:spacing w:after="140" w:line="276"/>
      </w:pPr>
      <w:r>
        <w:rPr>
          <w:sz w:val="21"/>
          <w:szCs w:val="21"/>
        </w:rPr>
        <w:t xml:space="preserve">Seis de esas pruebas son nuevas y cubren esta entrega: que los rótulos son la semana ISO correcta, que coinciden exactamente con el calendario cuando el horizonte empieza en lunes, que la línea arrastra su semana y se re-rotula al mover el horizonte, que el resumen usa las mismas etiquetas, que sin fecha de inicio se conserva el comportamiento anterior, y que Tesorería quedó como aplicación propia.</w:t>
      </w:r>
    </w:p>
    <w:p>
      <w:pPr>
        <w:spacing w:after="140" w:line="276"/>
      </w:pPr>
      <w:r>
        <w:rPr>
          <w:sz w:val="21"/>
          <w:szCs w:val="21"/>
        </w:rPr>
        <w:t xml:space="preserve">Además se verificó a mano, en el navegador, la baldosa de la aplicación, la barra superior, las columnas de las hojas, la pestaña Resumen y el contenido del PDF y del Excel. El cálculo de la semana en el servidor y en el navegador se contrastó uno contra otro, incluidos los casos de cambio de año (semana 53 y semana 1).</w:t>
      </w:r>
    </w:p>
    <w:p>
      <w:pPr>
        <w:pStyle w:val="Heading1"/>
        <w:pBdr>
          <w:bottom w:val="single" w:color="3C9BDD" w:sz="8" w:space="6"/>
        </w:pBdr>
        <w:spacing w:after="180" w:before="360"/>
      </w:pPr>
      <w:r>
        <w:rPr>
          <w:b/>
          <w:bCs/>
          <w:color w:val="1F3A5F"/>
          <w:sz w:val="30"/>
          <w:szCs w:val="30"/>
        </w:rPr>
        <w:t xml:space="preserve">6. Lo que no quedó cubierto, y por qué</w:t>
      </w:r>
    </w:p>
    <w:p>
      <w:pPr>
        <w:pStyle w:val="Heading2"/>
        <w:spacing w:after="120" w:before="260"/>
      </w:pPr>
      <w:r>
        <w:rPr>
          <w:b/>
          <w:bCs/>
          <w:color w:val="1F3A5F"/>
          <w:sz w:val="24"/>
          <w:szCs w:val="24"/>
        </w:rPr>
        <w:t xml:space="preserve">6.1 El icono es vectorial, no un render 3D</w:t>
      </w:r>
    </w:p>
    <w:p>
      <w:pPr>
        <w:spacing w:after="140" w:line="276"/>
      </w:pPr>
      <w:r>
        <w:rPr>
          <w:sz w:val="21"/>
          <w:szCs w:val="21"/>
        </w:rPr>
        <w:t xml:space="preserve">Los iconos de los otros módulos Steps —Maquinaria, Cosecha, Calidad— son ilustraciones 3D. El de Tesorería está dibujado con la misma paleta, el mismo encuadre y el mismo motivo del engranaje, pero es una figura plana con volumen, no un render.</w:t>
      </w:r>
    </w:p>
    <w:p>
      <w:pPr>
        <w:spacing w:after="140" w:line="276"/>
      </w:pPr>
      <w:r>
        <w:rPr>
          <w:sz w:val="21"/>
          <w:szCs w:val="21"/>
        </w:rPr>
        <w:t xml:space="preserve">A tamaño de baldosa (unos 40 píxeles) la diferencia no se nota: lo que identifica al icono es el verde oscuro y el engranaje lima, y eso está. </w:t>
      </w:r>
      <w:r>
        <w:rPr>
          <w:b/>
          <w:bCs/>
          <w:sz w:val="21"/>
          <w:szCs w:val="21"/>
        </w:rPr>
        <w:t xml:space="preserve">Si quieren el mismo acabado 3D, hay que generar la ilustración por la misma vía que las otras y reemplazar un archivo; el resto del cambio no se toca.</w:t>
      </w:r>
    </w:p>
    <w:p>
      <w:pPr>
        <w:pStyle w:val="Heading2"/>
        <w:spacing w:after="120" w:before="260"/>
      </w:pPr>
      <w:r>
        <w:rPr>
          <w:b/>
          <w:bCs/>
          <w:color w:val="1F3A5F"/>
          <w:sz w:val="24"/>
          <w:szCs w:val="24"/>
        </w:rPr>
        <w:t xml:space="preserve">6.2 El gráfico «Proyección por semana» sigue agrupando por ventana</w:t>
      </w:r>
    </w:p>
    <w:p>
      <w:pPr>
        <w:spacing w:after="140" w:line="276"/>
      </w:pPr>
      <w:r>
        <w:rPr>
          <w:sz w:val="21"/>
          <w:szCs w:val="21"/>
        </w:rPr>
        <w:t xml:space="preserve">La pantalla Planificación → Proyección por semana sigue mostrando W1 a W5 en el eje.</w:t>
      </w:r>
    </w:p>
    <w:p>
      <w:pPr>
        <w:spacing w:after="140" w:line="276"/>
      </w:pPr>
      <w:r>
        <w:rPr>
          <w:sz w:val="21"/>
          <w:szCs w:val="21"/>
        </w:rPr>
        <w:t xml:space="preserve">El motivo: el eje de un gráfico se ordena por el valor del campo por el que agrupa. Con texto quedaría «Otros, Vencido, W35, W36…» —alfabético—, lo que rompe el orden natural del horizonte y deja Vencido en medio. Preferimos no degradar una pantalla que hoy funciona. </w:t>
      </w:r>
      <w:r>
        <w:rPr>
          <w:b/>
          <w:bCs/>
          <w:sz w:val="21"/>
          <w:szCs w:val="21"/>
        </w:rPr>
        <w:t xml:space="preserve">Como alternativa ya disponible, en «Agrupar por» hay ahora un agrupador «Semana calendario» para quien quiera verlo así.</w:t>
      </w:r>
    </w:p>
    <w:p>
      <w:pPr>
        <w:spacing w:after="140" w:line="276"/>
      </w:pPr>
      <w:r>
        <w:rPr>
          <w:color w:val="5A6570"/>
          <w:sz w:val="20"/>
          <w:szCs w:val="20"/>
        </w:rPr>
        <w:t xml:space="preserve">Si prefieren que el gráfico use la semana real aunque el orden quede alfabético, es un cambio de una línea. Díganlo y lo hacemos.</w:t>
      </w:r>
    </w:p>
    <w:p>
      <w:pPr>
        <w:pStyle w:val="Heading2"/>
        <w:spacing w:after="120" w:before="260"/>
      </w:pPr>
      <w:r>
        <w:rPr>
          <w:b/>
          <w:bCs/>
          <w:color w:val="1F3A5F"/>
          <w:sz w:val="24"/>
          <w:szCs w:val="24"/>
        </w:rPr>
        <w:t xml:space="preserve">6.3 Un horizonte que cruce el cambio de año queda ambiguo</w:t>
      </w:r>
    </w:p>
    <w:p>
      <w:pPr>
        <w:spacing w:after="140" w:line="276"/>
      </w:pPr>
      <w:r>
        <w:rPr>
          <w:sz w:val="21"/>
          <w:szCs w:val="21"/>
        </w:rPr>
        <w:t xml:space="preserve">Un flujo que arranque en diciembre mostraría W52, W53, W1, W2, W3. El resumen y el PDF llevan el rango de fechas bajo el número, así que ahí se entiende; las columnas de las siete hojas, no. Hoy no es un problema porque no hay flujos que crucen diciembre, pero lo será en su momento. Ver la recomendación 7.4.</w:t>
      </w:r>
    </w:p>
    <w:p>
      <w:pPr>
        <w:pStyle w:val="Heading2"/>
        <w:spacing w:after="120" w:before="260"/>
      </w:pPr>
      <w:r>
        <w:rPr>
          <w:b/>
          <w:bCs/>
          <w:color w:val="1F3A5F"/>
          <w:sz w:val="24"/>
          <w:szCs w:val="24"/>
        </w:rPr>
        <w:t xml:space="preserve">6.4 Demo no tiene ningún flujo de caja</w:t>
      </w:r>
    </w:p>
    <w:p>
      <w:pPr>
        <w:spacing w:after="140" w:line="276"/>
      </w:pPr>
      <w:r>
        <w:rPr>
          <w:sz w:val="21"/>
          <w:szCs w:val="21"/>
        </w:rPr>
        <w:t xml:space="preserve">La corrección está instalada en Demo, pero no hay ningún flujo cargado, así que no hay nada que mirar hasta crear uno. En Desarrollo sí hay dos flujos.</w:t>
      </w:r>
    </w:p>
    <w:p>
      <w:pPr>
        <w:pStyle w:val="Heading2"/>
        <w:spacing w:after="120" w:before="260"/>
      </w:pPr>
      <w:r>
        <w:rPr>
          <w:b/>
          <w:bCs/>
          <w:color w:val="1F3A5F"/>
          <w:sz w:val="24"/>
          <w:szCs w:val="24"/>
        </w:rPr>
        <w:t xml:space="preserve">6.5 Lo que deliberadamente no se tocó</w:t>
      </w:r>
    </w:p>
    <w:p>
      <w:pPr>
        <w:pStyle w:val="ListParagraph"/>
        <w:numPr>
          <w:ilvl w:val="0"/>
          <w:numId w:val="3"/>
        </w:numPr>
        <w:spacing w:after="90" w:line="276"/>
      </w:pPr>
      <w:r>
        <w:rPr>
          <w:sz w:val="21"/>
          <w:szCs w:val="21"/>
        </w:rPr>
        <w:t xml:space="preserve">Producción: ni el código en uso ni la base.</w:t>
      </w:r>
    </w:p>
    <w:p>
      <w:pPr>
        <w:pStyle w:val="ListParagraph"/>
        <w:numPr>
          <w:ilvl w:val="0"/>
          <w:numId w:val="3"/>
        </w:numPr>
        <w:spacing w:after="90" w:line="276"/>
      </w:pPr>
      <w:r>
        <w:rPr>
          <w:sz w:val="21"/>
          <w:szCs w:val="21"/>
        </w:rPr>
        <w:t xml:space="preserve">Ningún cálculo del flujo: importes, conversión de moneda, saldo inicial, acumulado y reparto de vencimientos quedaron exactamente como estaban.</w:t>
      </w:r>
    </w:p>
    <w:p>
      <w:pPr>
        <w:pStyle w:val="ListParagraph"/>
        <w:numPr>
          <w:ilvl w:val="0"/>
          <w:numId w:val="3"/>
        </w:numPr>
        <w:spacing w:after="90" w:line="276"/>
      </w:pPr>
      <w:r>
        <w:rPr>
          <w:sz w:val="21"/>
          <w:szCs w:val="21"/>
        </w:rPr>
        <w:t xml:space="preserve">Los menús estándar de Odoo, que siguen donde estaban.</w:t>
      </w:r>
    </w:p>
    <w:p>
      <w:pPr>
        <w:pStyle w:val="ListParagraph"/>
        <w:numPr>
          <w:ilvl w:val="0"/>
          <w:numId w:val="3"/>
        </w:numPr>
        <w:spacing w:after="90" w:line="276"/>
      </w:pPr>
      <w:r>
        <w:rPr>
          <w:sz w:val="21"/>
          <w:szCs w:val="21"/>
        </w:rPr>
        <w:t xml:space="preserve">Los módulos puente de Tesorería (agro y pagos por lote): no requerían cambios y sus menús siguen colgando de Tesorería.</w:t>
      </w:r>
    </w:p>
    <w:p>
      <w:pPr>
        <w:pStyle w:val="Heading1"/>
        <w:pBdr>
          <w:bottom w:val="single" w:color="3C9BDD" w:sz="8" w:space="6"/>
        </w:pBdr>
        <w:spacing w:after="180" w:before="360"/>
      </w:pPr>
      <w:r>
        <w:rPr>
          <w:b/>
          <w:bCs/>
          <w:color w:val="1F3A5F"/>
          <w:sz w:val="30"/>
          <w:szCs w:val="30"/>
        </w:rPr>
        <w:t xml:space="preserve">7. Recomendaciones</w:t>
      </w:r>
    </w:p>
    <w:tbl>
      <w:tblPr>
        <w:tblW w:type="dxa" w:w="9360"/>
        <w:tblBorders>
          <w:top w:val="single" w:color="C8D2DC" w:sz="4"/>
          <w:left w:val="single" w:color="C8D2DC" w:sz="4"/>
          <w:bottom w:val="single" w:color="C8D2DC" w:sz="4"/>
          <w:right w:val="single" w:color="C8D2DC" w:sz="4"/>
          <w:insideH w:val="single" w:color="DCE4EC" w:sz="4"/>
          <w:insideV w:val="single" w:color="DCE4EC" w:sz="4"/>
        </w:tblBorders>
      </w:tblPr>
      <w:tblGrid>
        <w:gridCol w:w="600"/>
        <w:gridCol w:w="3300"/>
        <w:gridCol w:w="5460"/>
      </w:tblGrid>
      <w:tr>
        <w:trPr>
          <w:cantSplit/>
          <w:tblHeader/>
        </w:trPr>
        <w:tc>
          <w:tcPr>
            <w:tcW w:type="dxa" w:w="600"/>
            <w:shd w:fill="EAF3FB" w:val="clear"/>
            <w:tcMar>
              <w:top w:type="dxa" w:w="80"/>
              <w:left w:type="dxa" w:w="110"/>
              <w:bottom w:type="dxa" w:w="80"/>
              <w:right w:type="dxa" w:w="110"/>
            </w:tcMar>
          </w:tcPr>
          <w:p>
            <w:pPr>
              <w:spacing w:after="0" w:line="260"/>
            </w:pPr>
            <w:r>
              <w:rPr>
                <w:b/>
                <w:bCs/>
                <w:color w:val="1F3A5F"/>
                <w:sz w:val="19"/>
                <w:szCs w:val="19"/>
              </w:rPr>
              <w:t xml:space="preserve">#</w:t>
            </w:r>
          </w:p>
        </w:tc>
        <w:tc>
          <w:tcPr>
            <w:tcW w:type="dxa" w:w="3300"/>
            <w:shd w:fill="EAF3FB" w:val="clear"/>
            <w:tcMar>
              <w:top w:type="dxa" w:w="80"/>
              <w:left w:type="dxa" w:w="110"/>
              <w:bottom w:type="dxa" w:w="80"/>
              <w:right w:type="dxa" w:w="110"/>
            </w:tcMar>
          </w:tcPr>
          <w:p>
            <w:pPr>
              <w:spacing w:after="0" w:line="260"/>
            </w:pPr>
            <w:r>
              <w:rPr>
                <w:b/>
                <w:bCs/>
                <w:color w:val="1F3A5F"/>
                <w:sz w:val="19"/>
                <w:szCs w:val="19"/>
              </w:rPr>
              <w:t xml:space="preserve">Recomendación</w:t>
            </w:r>
          </w:p>
        </w:tc>
        <w:tc>
          <w:tcPr>
            <w:tcW w:type="dxa" w:w="5460"/>
            <w:shd w:fill="EAF3FB" w:val="clear"/>
            <w:tcMar>
              <w:top w:type="dxa" w:w="80"/>
              <w:left w:type="dxa" w:w="110"/>
              <w:bottom w:type="dxa" w:w="80"/>
              <w:right w:type="dxa" w:w="110"/>
            </w:tcMar>
          </w:tcPr>
          <w:p>
            <w:pPr>
              <w:spacing w:after="0" w:line="260"/>
            </w:pPr>
            <w:r>
              <w:rPr>
                <w:b/>
                <w:bCs/>
                <w:color w:val="1F3A5F"/>
                <w:sz w:val="19"/>
                <w:szCs w:val="19"/>
              </w:rPr>
              <w:t xml:space="preserve">Por qué</w:t>
            </w:r>
          </w:p>
        </w:tc>
      </w:tr>
      <w:tr>
        <w:trPr>
          <w:cantSplit/>
        </w:trPr>
        <w:tc>
          <w:tcPr>
            <w:tcW w:type="dxa" w:w="600"/>
            <w:tcMar>
              <w:top w:type="dxa" w:w="80"/>
              <w:left w:type="dxa" w:w="110"/>
              <w:bottom w:type="dxa" w:w="80"/>
              <w:right w:type="dxa" w:w="110"/>
            </w:tcMar>
          </w:tcPr>
          <w:p>
            <w:pPr>
              <w:spacing w:after="0" w:line="260"/>
            </w:pPr>
            <w:r>
              <w:rPr>
                <w:sz w:val="19"/>
                <w:szCs w:val="19"/>
              </w:rPr>
              <w:t xml:space="preserve">7.1</w:t>
            </w:r>
          </w:p>
        </w:tc>
        <w:tc>
          <w:tcPr>
            <w:tcW w:type="dxa" w:w="3300"/>
            <w:tcMar>
              <w:top w:type="dxa" w:w="80"/>
              <w:left w:type="dxa" w:w="110"/>
              <w:bottom w:type="dxa" w:w="80"/>
              <w:right w:type="dxa" w:w="110"/>
            </w:tcMar>
          </w:tcPr>
          <w:p>
            <w:pPr>
              <w:spacing w:after="0" w:line="260"/>
            </w:pPr>
            <w:r>
              <w:rPr>
                <w:sz w:val="19"/>
                <w:szCs w:val="19"/>
              </w:rPr>
              <w:t xml:space="preserve">Empezar el horizonte de los flujos en lunes.</w:t>
            </w:r>
          </w:p>
        </w:tc>
        <w:tc>
          <w:tcPr>
            <w:tcW w:type="dxa" w:w="5460"/>
            <w:tcMar>
              <w:top w:type="dxa" w:w="80"/>
              <w:left w:type="dxa" w:w="110"/>
              <w:bottom w:type="dxa" w:w="80"/>
              <w:right w:type="dxa" w:w="110"/>
            </w:tcMar>
          </w:tcPr>
          <w:p>
            <w:pPr>
              <w:spacing w:after="0" w:line="260"/>
            </w:pPr>
            <w:r>
              <w:rPr>
                <w:sz w:val="19"/>
                <w:szCs w:val="19"/>
              </w:rPr>
              <w:t xml:space="preserve">Es lo único que hace que la ventana de siete días y la semana del calendario sean exactamente la misma cosa. Si arrancan un miércoles, «W35» va a nombrar una ventana de miércoles a martes, y tarde o temprano alguien va a discutir un número por eso.</w:t>
            </w:r>
          </w:p>
        </w:tc>
      </w:tr>
      <w:tr>
        <w:trPr>
          <w:cantSplit/>
        </w:trPr>
        <w:tc>
          <w:tcPr>
            <w:tcW w:type="dxa" w:w="600"/>
            <w:shd w:fill="F5F7F9" w:val="clear"/>
            <w:tcMar>
              <w:top w:type="dxa" w:w="80"/>
              <w:left w:type="dxa" w:w="110"/>
              <w:bottom w:type="dxa" w:w="80"/>
              <w:right w:type="dxa" w:w="110"/>
            </w:tcMar>
          </w:tcPr>
          <w:p>
            <w:pPr>
              <w:spacing w:after="0" w:line="260"/>
            </w:pPr>
            <w:r>
              <w:rPr>
                <w:sz w:val="19"/>
                <w:szCs w:val="19"/>
              </w:rPr>
              <w:t xml:space="preserve">7.2</w:t>
            </w:r>
          </w:p>
        </w:tc>
        <w:tc>
          <w:tcPr>
            <w:tcW w:type="dxa" w:w="3300"/>
            <w:shd w:fill="F5F7F9" w:val="clear"/>
            <w:tcMar>
              <w:top w:type="dxa" w:w="80"/>
              <w:left w:type="dxa" w:w="110"/>
              <w:bottom w:type="dxa" w:w="80"/>
              <w:right w:type="dxa" w:w="110"/>
            </w:tcMar>
          </w:tcPr>
          <w:p>
            <w:pPr>
              <w:spacing w:after="0" w:line="260"/>
            </w:pPr>
            <w:r>
              <w:rPr>
                <w:sz w:val="19"/>
                <w:szCs w:val="19"/>
              </w:rPr>
              <w:t xml:space="preserve">Cargar un flujo de ejemplo en Demo.</w:t>
            </w:r>
          </w:p>
        </w:tc>
        <w:tc>
          <w:tcPr>
            <w:tcW w:type="dxa" w:w="5460"/>
            <w:shd w:fill="F5F7F9" w:val="clear"/>
            <w:tcMar>
              <w:top w:type="dxa" w:w="80"/>
              <w:left w:type="dxa" w:w="110"/>
              <w:bottom w:type="dxa" w:w="80"/>
              <w:right w:type="dxa" w:w="110"/>
            </w:tcMar>
          </w:tcPr>
          <w:p>
            <w:pPr>
              <w:spacing w:after="0" w:line="260"/>
            </w:pPr>
            <w:r>
              <w:rPr>
                <w:sz w:val="19"/>
                <w:szCs w:val="19"/>
              </w:rPr>
              <w:t xml:space="preserve">Hoy Demo no tiene ninguno. Es el ambiente donde se muestran las cosas, y una pantalla vacía no muestra nada.</w:t>
            </w:r>
          </w:p>
        </w:tc>
      </w:tr>
      <w:tr>
        <w:trPr>
          <w:cantSplit/>
        </w:trPr>
        <w:tc>
          <w:tcPr>
            <w:tcW w:type="dxa" w:w="600"/>
            <w:tcMar>
              <w:top w:type="dxa" w:w="80"/>
              <w:left w:type="dxa" w:w="110"/>
              <w:bottom w:type="dxa" w:w="80"/>
              <w:right w:type="dxa" w:w="110"/>
            </w:tcMar>
          </w:tcPr>
          <w:p>
            <w:pPr>
              <w:spacing w:after="0" w:line="260"/>
            </w:pPr>
            <w:r>
              <w:rPr>
                <w:sz w:val="19"/>
                <w:szCs w:val="19"/>
              </w:rPr>
              <w:t xml:space="preserve">7.3</w:t>
            </w:r>
          </w:p>
        </w:tc>
        <w:tc>
          <w:tcPr>
            <w:tcW w:type="dxa" w:w="3300"/>
            <w:tcMar>
              <w:top w:type="dxa" w:w="80"/>
              <w:left w:type="dxa" w:w="110"/>
              <w:bottom w:type="dxa" w:w="80"/>
              <w:right w:type="dxa" w:w="110"/>
            </w:tcMar>
          </w:tcPr>
          <w:p>
            <w:pPr>
              <w:spacing w:after="0" w:line="260"/>
            </w:pPr>
            <w:r>
              <w:rPr>
                <w:sz w:val="19"/>
                <w:szCs w:val="19"/>
              </w:rPr>
              <w:t xml:space="preserve">Revisar quién debe tener perfil de Tesorería.</w:t>
            </w:r>
          </w:p>
        </w:tc>
        <w:tc>
          <w:tcPr>
            <w:tcW w:type="dxa" w:w="5460"/>
            <w:tcMar>
              <w:top w:type="dxa" w:w="80"/>
              <w:left w:type="dxa" w:w="110"/>
              <w:bottom w:type="dxa" w:w="80"/>
              <w:right w:type="dxa" w:w="110"/>
            </w:tcMar>
          </w:tcPr>
          <w:p>
            <w:pPr>
              <w:spacing w:after="0" w:line="260"/>
            </w:pPr>
            <w:r>
              <w:rPr>
                <w:sz w:val="19"/>
                <w:szCs w:val="19"/>
              </w:rPr>
              <w:t xml:space="preserve">Ahora la aplicación es visible como baldosa, así que quién la ve se nota más que antes. Son 2 usuarios en Demo y 6 en Desarrollo.</w:t>
            </w:r>
          </w:p>
        </w:tc>
      </w:tr>
      <w:tr>
        <w:trPr>
          <w:cantSplit/>
        </w:trPr>
        <w:tc>
          <w:tcPr>
            <w:tcW w:type="dxa" w:w="600"/>
            <w:shd w:fill="F5F7F9" w:val="clear"/>
            <w:tcMar>
              <w:top w:type="dxa" w:w="80"/>
              <w:left w:type="dxa" w:w="110"/>
              <w:bottom w:type="dxa" w:w="80"/>
              <w:right w:type="dxa" w:w="110"/>
            </w:tcMar>
          </w:tcPr>
          <w:p>
            <w:pPr>
              <w:spacing w:after="0" w:line="260"/>
            </w:pPr>
            <w:r>
              <w:rPr>
                <w:sz w:val="19"/>
                <w:szCs w:val="19"/>
              </w:rPr>
              <w:t xml:space="preserve">7.4</w:t>
            </w:r>
          </w:p>
        </w:tc>
        <w:tc>
          <w:tcPr>
            <w:tcW w:type="dxa" w:w="3300"/>
            <w:shd w:fill="F5F7F9" w:val="clear"/>
            <w:tcMar>
              <w:top w:type="dxa" w:w="80"/>
              <w:left w:type="dxa" w:w="110"/>
              <w:bottom w:type="dxa" w:w="80"/>
              <w:right w:type="dxa" w:w="110"/>
            </w:tcMar>
          </w:tcPr>
          <w:p>
            <w:pPr>
              <w:spacing w:after="0" w:line="260"/>
            </w:pPr>
            <w:r>
              <w:rPr>
                <w:sz w:val="19"/>
                <w:szCs w:val="19"/>
              </w:rPr>
              <w:t xml:space="preserve">Avisarnos antes del primer flujo que cruce diciembre.</w:t>
            </w:r>
          </w:p>
        </w:tc>
        <w:tc>
          <w:tcPr>
            <w:tcW w:type="dxa" w:w="5460"/>
            <w:shd w:fill="F5F7F9" w:val="clear"/>
            <w:tcMar>
              <w:top w:type="dxa" w:w="80"/>
              <w:left w:type="dxa" w:w="110"/>
              <w:bottom w:type="dxa" w:w="80"/>
              <w:right w:type="dxa" w:w="110"/>
            </w:tcMar>
          </w:tcPr>
          <w:p>
            <w:pPr>
              <w:spacing w:after="0" w:line="260"/>
            </w:pPr>
            <w:r>
              <w:rPr>
                <w:sz w:val="19"/>
                <w:szCs w:val="19"/>
              </w:rPr>
              <w:t xml:space="preserve">Ahí conviene agregar el año al rótulo (por ejemplo «W52·26» y «W01·27») para que no se confundan dos semanas con el mismo número. Es un cambio chico, pero mejor hacerlo antes de que aparezca el caso y no después.</w:t>
            </w:r>
          </w:p>
        </w:tc>
      </w:tr>
      <w:tr>
        <w:trPr>
          <w:cantSplit/>
        </w:trPr>
        <w:tc>
          <w:tcPr>
            <w:tcW w:type="dxa" w:w="600"/>
            <w:tcMar>
              <w:top w:type="dxa" w:w="80"/>
              <w:left w:type="dxa" w:w="110"/>
              <w:bottom w:type="dxa" w:w="80"/>
              <w:right w:type="dxa" w:w="110"/>
            </w:tcMar>
          </w:tcPr>
          <w:p>
            <w:pPr>
              <w:spacing w:after="0" w:line="260"/>
            </w:pPr>
            <w:r>
              <w:rPr>
                <w:sz w:val="19"/>
                <w:szCs w:val="19"/>
              </w:rPr>
              <w:t xml:space="preserve">7.5</w:t>
            </w:r>
          </w:p>
        </w:tc>
        <w:tc>
          <w:tcPr>
            <w:tcW w:type="dxa" w:w="3300"/>
            <w:tcMar>
              <w:top w:type="dxa" w:w="80"/>
              <w:left w:type="dxa" w:w="110"/>
              <w:bottom w:type="dxa" w:w="80"/>
              <w:right w:type="dxa" w:w="110"/>
            </w:tcMar>
          </w:tcPr>
          <w:p>
            <w:pPr>
              <w:spacing w:after="0" w:line="260"/>
            </w:pPr>
            <w:r>
              <w:rPr>
                <w:sz w:val="19"/>
                <w:szCs w:val="19"/>
              </w:rPr>
              <w:t xml:space="preserve">Decidir sobre el acabado del icono.</w:t>
            </w:r>
          </w:p>
        </w:tc>
        <w:tc>
          <w:tcPr>
            <w:tcW w:type="dxa" w:w="5460"/>
            <w:tcMar>
              <w:top w:type="dxa" w:w="80"/>
              <w:left w:type="dxa" w:w="110"/>
              <w:bottom w:type="dxa" w:w="80"/>
              <w:right w:type="dxa" w:w="110"/>
            </w:tcMar>
          </w:tcPr>
          <w:p>
            <w:pPr>
              <w:spacing w:after="0" w:line="260"/>
            </w:pPr>
            <w:r>
              <w:rPr>
                <w:sz w:val="19"/>
                <w:szCs w:val="19"/>
              </w:rPr>
              <w:t xml:space="preserve">Si el icono vectorial les acomoda, no hay nada que hacer. Si quieren el render 3D del resto de la familia, es reemplazar un archivo.</w:t>
            </w:r>
          </w:p>
        </w:tc>
      </w:tr>
      <w:tr>
        <w:trPr>
          <w:cantSplit/>
        </w:trPr>
        <w:tc>
          <w:tcPr>
            <w:tcW w:type="dxa" w:w="600"/>
            <w:shd w:fill="F5F7F9" w:val="clear"/>
            <w:tcMar>
              <w:top w:type="dxa" w:w="80"/>
              <w:left w:type="dxa" w:w="110"/>
              <w:bottom w:type="dxa" w:w="80"/>
              <w:right w:type="dxa" w:w="110"/>
            </w:tcMar>
          </w:tcPr>
          <w:p>
            <w:pPr>
              <w:spacing w:after="0" w:line="260"/>
            </w:pPr>
            <w:r>
              <w:rPr>
                <w:sz w:val="19"/>
                <w:szCs w:val="19"/>
              </w:rPr>
              <w:t xml:space="preserve">7.6</w:t>
            </w:r>
          </w:p>
        </w:tc>
        <w:tc>
          <w:tcPr>
            <w:tcW w:type="dxa" w:w="3300"/>
            <w:shd w:fill="F5F7F9" w:val="clear"/>
            <w:tcMar>
              <w:top w:type="dxa" w:w="80"/>
              <w:left w:type="dxa" w:w="110"/>
              <w:bottom w:type="dxa" w:w="80"/>
              <w:right w:type="dxa" w:w="110"/>
            </w:tcMar>
          </w:tcPr>
          <w:p>
            <w:pPr>
              <w:spacing w:after="0" w:line="260"/>
            </w:pPr>
            <w:r>
              <w:rPr>
                <w:sz w:val="19"/>
                <w:szCs w:val="19"/>
              </w:rPr>
              <w:t xml:space="preserve">Confirmar si el acceso «Tesorería» dentro de Contabilidad se queda.</w:t>
            </w:r>
          </w:p>
        </w:tc>
        <w:tc>
          <w:tcPr>
            <w:tcW w:type="dxa" w:w="5460"/>
            <w:shd w:fill="F5F7F9" w:val="clear"/>
            <w:tcMar>
              <w:top w:type="dxa" w:w="80"/>
              <w:left w:type="dxa" w:w="110"/>
              <w:bottom w:type="dxa" w:w="80"/>
              <w:right w:type="dxa" w:w="110"/>
            </w:tcMar>
          </w:tcPr>
          <w:p>
            <w:pPr>
              <w:spacing w:after="0" w:line="260"/>
            </w:pPr>
            <w:r>
              <w:rPr>
                <w:sz w:val="19"/>
                <w:szCs w:val="19"/>
              </w:rPr>
              <w:t xml:space="preserve">Lo dejamos por continuidad, para quien la buscara donde estaba. Si a ustedes les parece duplicado, se quita.</w:t>
            </w:r>
          </w:p>
        </w:tc>
      </w:tr>
    </w:tbl>
    <w:p>
      <w:pPr>
        <w:pStyle w:val="Heading1"/>
        <w:pBdr>
          <w:bottom w:val="single" w:color="3C9BDD" w:sz="8" w:space="6"/>
        </w:pBdr>
        <w:spacing w:after="180" w:before="360"/>
      </w:pPr>
      <w:r>
        <w:rPr>
          <w:b/>
          <w:bCs/>
          <w:color w:val="1F3A5F"/>
          <w:sz w:val="30"/>
          <w:szCs w:val="30"/>
        </w:rPr>
        <w:t xml:space="preserve">8. Qué necesitamos de ustedes</w:t>
      </w:r>
    </w:p>
    <w:p>
      <w:pPr>
        <w:spacing w:after="140" w:line="276"/>
      </w:pPr>
      <w:r>
        <w:rPr>
          <w:sz w:val="21"/>
          <w:szCs w:val="21"/>
        </w:rPr>
        <w:t xml:space="preserve">Con esto basta para cerrar la entrega:</w:t>
      </w:r>
    </w:p>
    <w:p>
      <w:pPr>
        <w:spacing w:after="60"/>
      </w:pPr>
    </w:p>
    <w:tbl>
      <w:tblPr>
        <w:tblW w:type="dxa" w:w="9360"/>
        <w:tblBorders>
          <w:top w:val="single" w:color="C8D2DC" w:sz="4"/>
          <w:left w:val="single" w:color="C8D2DC" w:sz="4"/>
          <w:bottom w:val="single" w:color="C8D2DC" w:sz="4"/>
          <w:right w:val="single" w:color="C8D2DC" w:sz="4"/>
          <w:insideH w:val="single" w:color="DCE4EC" w:sz="4"/>
          <w:insideV w:val="single" w:color="DCE4EC" w:sz="4"/>
        </w:tblBorders>
      </w:tblPr>
      <w:tblGrid>
        <w:gridCol w:w="600"/>
        <w:gridCol w:w="5160"/>
        <w:gridCol w:w="3600"/>
      </w:tblGrid>
      <w:tr>
        <w:trPr>
          <w:cantSplit/>
          <w:tblHeader/>
        </w:trPr>
        <w:tc>
          <w:tcPr>
            <w:tcW w:type="dxa" w:w="600"/>
            <w:shd w:fill="EAF3FB" w:val="clear"/>
            <w:tcMar>
              <w:top w:type="dxa" w:w="80"/>
              <w:left w:type="dxa" w:w="110"/>
              <w:bottom w:type="dxa" w:w="80"/>
              <w:right w:type="dxa" w:w="110"/>
            </w:tcMar>
          </w:tcPr>
          <w:p>
            <w:pPr>
              <w:spacing w:after="0" w:line="260"/>
            </w:pPr>
            <w:r>
              <w:rPr>
                <w:b/>
                <w:bCs/>
                <w:color w:val="1F3A5F"/>
                <w:sz w:val="19"/>
                <w:szCs w:val="19"/>
              </w:rPr>
              <w:t xml:space="preserve">#</w:t>
            </w:r>
          </w:p>
        </w:tc>
        <w:tc>
          <w:tcPr>
            <w:tcW w:type="dxa" w:w="5160"/>
            <w:shd w:fill="EAF3FB" w:val="clear"/>
            <w:tcMar>
              <w:top w:type="dxa" w:w="80"/>
              <w:left w:type="dxa" w:w="110"/>
              <w:bottom w:type="dxa" w:w="80"/>
              <w:right w:type="dxa" w:w="110"/>
            </w:tcMar>
          </w:tcPr>
          <w:p>
            <w:pPr>
              <w:spacing w:after="0" w:line="260"/>
            </w:pPr>
            <w:r>
              <w:rPr>
                <w:b/>
                <w:bCs/>
                <w:color w:val="1F3A5F"/>
                <w:sz w:val="19"/>
                <w:szCs w:val="19"/>
              </w:rPr>
              <w:t xml:space="preserve">Pregunta</w:t>
            </w:r>
          </w:p>
        </w:tc>
        <w:tc>
          <w:tcPr>
            <w:tcW w:type="dxa" w:w="3600"/>
            <w:shd w:fill="EAF3FB" w:val="clear"/>
            <w:tcMar>
              <w:top w:type="dxa" w:w="80"/>
              <w:left w:type="dxa" w:w="110"/>
              <w:bottom w:type="dxa" w:w="80"/>
              <w:right w:type="dxa" w:w="110"/>
            </w:tcMar>
          </w:tcPr>
          <w:p>
            <w:pPr>
              <w:spacing w:after="0" w:line="260"/>
            </w:pPr>
            <w:r>
              <w:rPr>
                <w:b/>
                <w:bCs/>
                <w:color w:val="1F3A5F"/>
                <w:sz w:val="19"/>
                <w:szCs w:val="19"/>
              </w:rPr>
              <w:t xml:space="preserve">Su respuesta</w:t>
            </w:r>
          </w:p>
        </w:tc>
      </w:tr>
      <w:tr>
        <w:trPr>
          <w:cantSplit/>
        </w:trPr>
        <w:tc>
          <w:tcPr>
            <w:tcW w:type="dxa" w:w="600"/>
            <w:tcMar>
              <w:top w:type="dxa" w:w="80"/>
              <w:left w:type="dxa" w:w="110"/>
              <w:bottom w:type="dxa" w:w="80"/>
              <w:right w:type="dxa" w:w="110"/>
            </w:tcMar>
          </w:tcPr>
          <w:p>
            <w:pPr>
              <w:spacing w:after="0" w:line="260"/>
            </w:pPr>
            <w:r>
              <w:rPr>
                <w:sz w:val="19"/>
                <w:szCs w:val="19"/>
              </w:rPr>
              <w:t xml:space="preserve">1</w:t>
            </w:r>
          </w:p>
        </w:tc>
        <w:tc>
          <w:tcPr>
            <w:tcW w:type="dxa" w:w="5160"/>
            <w:tcMar>
              <w:top w:type="dxa" w:w="80"/>
              <w:left w:type="dxa" w:w="110"/>
              <w:bottom w:type="dxa" w:w="80"/>
              <w:right w:type="dxa" w:w="110"/>
            </w:tcMar>
          </w:tcPr>
          <w:p>
            <w:pPr>
              <w:spacing w:after="0" w:line="260"/>
            </w:pPr>
            <w:r>
              <w:rPr>
                <w:sz w:val="19"/>
                <w:szCs w:val="19"/>
              </w:rPr>
              <w:t xml:space="preserve">¿El nombre y el icono de la aplicación son lo que esperaban?</w:t>
            </w:r>
          </w:p>
        </w:tc>
        <w:tc>
          <w:tcPr>
            <w:tcW w:type="dxa" w:w="3600"/>
            <w:tcMar>
              <w:top w:type="dxa" w:w="80"/>
              <w:left w:type="dxa" w:w="110"/>
              <w:bottom w:type="dxa" w:w="80"/>
              <w:right w:type="dxa" w:w="110"/>
            </w:tcMar>
          </w:tcPr>
          <w:p>
            <w:pPr>
              <w:spacing w:after="0" w:line="260"/>
            </w:pPr>
            <w:r>
              <w:rPr>
                <w:sz w:val="19"/>
                <w:szCs w:val="19"/>
              </w:rPr>
              <w:t xml:space="preserve"/>
            </w:r>
          </w:p>
        </w:tc>
      </w:tr>
      <w:tr>
        <w:trPr>
          <w:cantSplit/>
        </w:trPr>
        <w:tc>
          <w:tcPr>
            <w:tcW w:type="dxa" w:w="600"/>
            <w:shd w:fill="F5F7F9" w:val="clear"/>
            <w:tcMar>
              <w:top w:type="dxa" w:w="80"/>
              <w:left w:type="dxa" w:w="110"/>
              <w:bottom w:type="dxa" w:w="80"/>
              <w:right w:type="dxa" w:w="110"/>
            </w:tcMar>
          </w:tcPr>
          <w:p>
            <w:pPr>
              <w:spacing w:after="0" w:line="260"/>
            </w:pPr>
            <w:r>
              <w:rPr>
                <w:sz w:val="19"/>
                <w:szCs w:val="19"/>
              </w:rPr>
              <w:t xml:space="preserve">2</w:t>
            </w:r>
          </w:p>
        </w:tc>
        <w:tc>
          <w:tcPr>
            <w:tcW w:type="dxa" w:w="5160"/>
            <w:shd w:fill="F5F7F9" w:val="clear"/>
            <w:tcMar>
              <w:top w:type="dxa" w:w="80"/>
              <w:left w:type="dxa" w:w="110"/>
              <w:bottom w:type="dxa" w:w="80"/>
              <w:right w:type="dxa" w:w="110"/>
            </w:tcMar>
          </w:tcPr>
          <w:p>
            <w:pPr>
              <w:spacing w:after="0" w:line="260"/>
            </w:pPr>
            <w:r>
              <w:rPr>
                <w:sz w:val="19"/>
                <w:szCs w:val="19"/>
              </w:rPr>
              <w:t xml:space="preserve">¿Los rótulos de semana se ven correctos en su flujo?</w:t>
            </w:r>
          </w:p>
        </w:tc>
        <w:tc>
          <w:tcPr>
            <w:tcW w:type="dxa" w:w="3600"/>
            <w:shd w:fill="F5F7F9" w:val="clear"/>
            <w:tcMar>
              <w:top w:type="dxa" w:w="80"/>
              <w:left w:type="dxa" w:w="110"/>
              <w:bottom w:type="dxa" w:w="80"/>
              <w:right w:type="dxa" w:w="110"/>
            </w:tcMar>
          </w:tcPr>
          <w:p>
            <w:pPr>
              <w:spacing w:after="0" w:line="260"/>
            </w:pPr>
            <w:r>
              <w:rPr>
                <w:sz w:val="19"/>
                <w:szCs w:val="19"/>
              </w:rPr>
              <w:t xml:space="preserve"/>
            </w:r>
          </w:p>
        </w:tc>
      </w:tr>
      <w:tr>
        <w:trPr>
          <w:cantSplit/>
        </w:trPr>
        <w:tc>
          <w:tcPr>
            <w:tcW w:type="dxa" w:w="600"/>
            <w:tcMar>
              <w:top w:type="dxa" w:w="80"/>
              <w:left w:type="dxa" w:w="110"/>
              <w:bottom w:type="dxa" w:w="80"/>
              <w:right w:type="dxa" w:w="110"/>
            </w:tcMar>
          </w:tcPr>
          <w:p>
            <w:pPr>
              <w:spacing w:after="0" w:line="260"/>
            </w:pPr>
            <w:r>
              <w:rPr>
                <w:sz w:val="19"/>
                <w:szCs w:val="19"/>
              </w:rPr>
              <w:t xml:space="preserve">3</w:t>
            </w:r>
          </w:p>
        </w:tc>
        <w:tc>
          <w:tcPr>
            <w:tcW w:type="dxa" w:w="5160"/>
            <w:tcMar>
              <w:top w:type="dxa" w:w="80"/>
              <w:left w:type="dxa" w:w="110"/>
              <w:bottom w:type="dxa" w:w="80"/>
              <w:right w:type="dxa" w:w="110"/>
            </w:tcMar>
          </w:tcPr>
          <w:p>
            <w:pPr>
              <w:spacing w:after="0" w:line="260"/>
            </w:pPr>
            <w:r>
              <w:rPr>
                <w:sz w:val="19"/>
                <w:szCs w:val="19"/>
              </w:rPr>
              <w:t xml:space="preserve">El icono: ¿se queda el vectorial (A) o lo quieren en 3D como los demás (B)?</w:t>
            </w:r>
          </w:p>
        </w:tc>
        <w:tc>
          <w:tcPr>
            <w:tcW w:type="dxa" w:w="3600"/>
            <w:tcMar>
              <w:top w:type="dxa" w:w="80"/>
              <w:left w:type="dxa" w:w="110"/>
              <w:bottom w:type="dxa" w:w="80"/>
              <w:right w:type="dxa" w:w="110"/>
            </w:tcMar>
          </w:tcPr>
          <w:p>
            <w:pPr>
              <w:spacing w:after="0" w:line="260"/>
            </w:pPr>
            <w:r>
              <w:rPr>
                <w:sz w:val="19"/>
                <w:szCs w:val="19"/>
              </w:rPr>
              <w:t xml:space="preserve"/>
            </w:r>
          </w:p>
        </w:tc>
      </w:tr>
      <w:tr>
        <w:trPr>
          <w:cantSplit/>
        </w:trPr>
        <w:tc>
          <w:tcPr>
            <w:tcW w:type="dxa" w:w="600"/>
            <w:shd w:fill="F5F7F9" w:val="clear"/>
            <w:tcMar>
              <w:top w:type="dxa" w:w="80"/>
              <w:left w:type="dxa" w:w="110"/>
              <w:bottom w:type="dxa" w:w="80"/>
              <w:right w:type="dxa" w:w="110"/>
            </w:tcMar>
          </w:tcPr>
          <w:p>
            <w:pPr>
              <w:spacing w:after="0" w:line="260"/>
            </w:pPr>
            <w:r>
              <w:rPr>
                <w:sz w:val="19"/>
                <w:szCs w:val="19"/>
              </w:rPr>
              <w:t xml:space="preserve">4</w:t>
            </w:r>
          </w:p>
        </w:tc>
        <w:tc>
          <w:tcPr>
            <w:tcW w:type="dxa" w:w="5160"/>
            <w:shd w:fill="F5F7F9" w:val="clear"/>
            <w:tcMar>
              <w:top w:type="dxa" w:w="80"/>
              <w:left w:type="dxa" w:w="110"/>
              <w:bottom w:type="dxa" w:w="80"/>
              <w:right w:type="dxa" w:w="110"/>
            </w:tcMar>
          </w:tcPr>
          <w:p>
            <w:pPr>
              <w:spacing w:after="0" w:line="260"/>
            </w:pPr>
            <w:r>
              <w:rPr>
                <w:sz w:val="19"/>
                <w:szCs w:val="19"/>
              </w:rPr>
              <w:t xml:space="preserve">El gráfico «Proyección por semana»: ¿se deja con W1..W5 (A) o pasa a semana real (B)?</w:t>
            </w:r>
          </w:p>
        </w:tc>
        <w:tc>
          <w:tcPr>
            <w:tcW w:type="dxa" w:w="3600"/>
            <w:shd w:fill="F5F7F9" w:val="clear"/>
            <w:tcMar>
              <w:top w:type="dxa" w:w="80"/>
              <w:left w:type="dxa" w:w="110"/>
              <w:bottom w:type="dxa" w:w="80"/>
              <w:right w:type="dxa" w:w="110"/>
            </w:tcMar>
          </w:tcPr>
          <w:p>
            <w:pPr>
              <w:spacing w:after="0" w:line="260"/>
            </w:pPr>
            <w:r>
              <w:rPr>
                <w:sz w:val="19"/>
                <w:szCs w:val="19"/>
              </w:rPr>
              <w:t xml:space="preserve"/>
            </w:r>
          </w:p>
        </w:tc>
      </w:tr>
      <w:tr>
        <w:trPr>
          <w:cantSplit/>
        </w:trPr>
        <w:tc>
          <w:tcPr>
            <w:tcW w:type="dxa" w:w="600"/>
            <w:tcMar>
              <w:top w:type="dxa" w:w="80"/>
              <w:left w:type="dxa" w:w="110"/>
              <w:bottom w:type="dxa" w:w="80"/>
              <w:right w:type="dxa" w:w="110"/>
            </w:tcMar>
          </w:tcPr>
          <w:p>
            <w:pPr>
              <w:spacing w:after="0" w:line="260"/>
            </w:pPr>
            <w:r>
              <w:rPr>
                <w:sz w:val="19"/>
                <w:szCs w:val="19"/>
              </w:rPr>
              <w:t xml:space="preserve">5</w:t>
            </w:r>
          </w:p>
        </w:tc>
        <w:tc>
          <w:tcPr>
            <w:tcW w:type="dxa" w:w="5160"/>
            <w:tcMar>
              <w:top w:type="dxa" w:w="80"/>
              <w:left w:type="dxa" w:w="110"/>
              <w:bottom w:type="dxa" w:w="80"/>
              <w:right w:type="dxa" w:w="110"/>
            </w:tcMar>
          </w:tcPr>
          <w:p>
            <w:pPr>
              <w:spacing w:after="0" w:line="260"/>
            </w:pPr>
            <w:r>
              <w:rPr>
                <w:sz w:val="19"/>
                <w:szCs w:val="19"/>
              </w:rPr>
              <w:t xml:space="preserve">El acceso «Tesorería» dentro de Contabilidad: ¿se queda (A) o se quita (B)?</w:t>
            </w:r>
          </w:p>
        </w:tc>
        <w:tc>
          <w:tcPr>
            <w:tcW w:type="dxa" w:w="3600"/>
            <w:tcMar>
              <w:top w:type="dxa" w:w="80"/>
              <w:left w:type="dxa" w:w="110"/>
              <w:bottom w:type="dxa" w:w="80"/>
              <w:right w:type="dxa" w:w="110"/>
            </w:tcMar>
          </w:tcPr>
          <w:p>
            <w:pPr>
              <w:spacing w:after="0" w:line="260"/>
            </w:pPr>
            <w:r>
              <w:rPr>
                <w:sz w:val="19"/>
                <w:szCs w:val="19"/>
              </w:rPr>
              <w:t xml:space="preserve"/>
            </w:r>
          </w:p>
        </w:tc>
      </w:tr>
      <w:tr>
        <w:trPr>
          <w:cantSplit/>
        </w:trPr>
        <w:tc>
          <w:tcPr>
            <w:tcW w:type="dxa" w:w="600"/>
            <w:shd w:fill="F5F7F9" w:val="clear"/>
            <w:tcMar>
              <w:top w:type="dxa" w:w="80"/>
              <w:left w:type="dxa" w:w="110"/>
              <w:bottom w:type="dxa" w:w="80"/>
              <w:right w:type="dxa" w:w="110"/>
            </w:tcMar>
          </w:tcPr>
          <w:p>
            <w:pPr>
              <w:spacing w:after="0" w:line="260"/>
            </w:pPr>
            <w:r>
              <w:rPr>
                <w:sz w:val="19"/>
                <w:szCs w:val="19"/>
              </w:rPr>
              <w:t xml:space="preserve">6</w:t>
            </w:r>
          </w:p>
        </w:tc>
        <w:tc>
          <w:tcPr>
            <w:tcW w:type="dxa" w:w="5160"/>
            <w:shd w:fill="F5F7F9" w:val="clear"/>
            <w:tcMar>
              <w:top w:type="dxa" w:w="80"/>
              <w:left w:type="dxa" w:w="110"/>
              <w:bottom w:type="dxa" w:w="80"/>
              <w:right w:type="dxa" w:w="110"/>
            </w:tcMar>
          </w:tcPr>
          <w:p>
            <w:pPr>
              <w:spacing w:after="0" w:line="260"/>
            </w:pPr>
            <w:r>
              <w:rPr>
                <w:sz w:val="19"/>
                <w:szCs w:val="19"/>
              </w:rPr>
              <w:t xml:space="preserve">¿Algo más del módulo que no se vea como esperaban?</w:t>
            </w:r>
          </w:p>
        </w:tc>
        <w:tc>
          <w:tcPr>
            <w:tcW w:type="dxa" w:w="3600"/>
            <w:shd w:fill="F5F7F9" w:val="clear"/>
            <w:tcMar>
              <w:top w:type="dxa" w:w="80"/>
              <w:left w:type="dxa" w:w="110"/>
              <w:bottom w:type="dxa" w:w="80"/>
              <w:right w:type="dxa" w:w="110"/>
            </w:tcMar>
          </w:tcPr>
          <w:p>
            <w:pPr>
              <w:spacing w:after="0" w:line="260"/>
            </w:pPr>
            <w:r>
              <w:rPr>
                <w:sz w:val="19"/>
                <w:szCs w:val="19"/>
              </w:rPr>
              <w:t xml:space="preserve"/>
            </w:r>
          </w:p>
        </w:tc>
      </w:tr>
    </w:tbl>
    <w:p>
      <w:pPr>
        <w:spacing w:after="80"/>
      </w:pPr>
    </w:p>
    <w:tbl>
      <w:tblPr>
        <w:tblW w:type="dxa" w:w="9360"/>
        <w:tblBorders>
          <w:top w:val="single" w:color="3C9BDD" w:sz="4"/>
          <w:left w:val="single" w:color="3C9BDD" w:sz="18"/>
          <w:bottom w:val="single" w:color="3C9BDD" w:sz="4"/>
          <w:right w:val="single" w:color="3C9BDD" w:sz="4"/>
          <w:insideH w:val="none"/>
          <w:insideV w:val="none"/>
        </w:tblBorders>
      </w:tblPr>
      <w:tblGrid>
        <w:gridCol w:w="9360"/>
      </w:tblGrid>
      <w:tr>
        <w:trPr>
          <w:cantSplit/>
        </w:trPr>
        <w:tc>
          <w:tcPr>
            <w:tcW w:type="dxa" w:w="9360"/>
            <w:shd w:fill="EAF3FB" w:val="clear"/>
            <w:tcMar>
              <w:top w:type="dxa" w:w="140"/>
              <w:left w:type="dxa" w:w="180"/>
              <w:bottom w:type="dxa" w:w="140"/>
              <w:right w:type="dxa" w:w="180"/>
            </w:tcMar>
          </w:tcPr>
          <w:p>
            <w:pPr>
              <w:spacing w:after="60"/>
            </w:pPr>
            <w:r>
              <w:rPr>
                <w:b/>
                <w:bCs/>
                <w:color w:val="1F3A5F"/>
                <w:sz w:val="20"/>
                <w:szCs w:val="20"/>
              </w:rPr>
              <w:t xml:space="preserve">Si al probar algo no calza</w:t>
            </w:r>
          </w:p>
          <w:p>
            <w:pPr>
              <w:spacing w:after="0" w:line="276"/>
            </w:pPr>
            <w:r>
              <w:rPr>
                <w:sz w:val="20"/>
                <w:szCs w:val="20"/>
              </w:rPr>
              <w:t xml:space="preserve">Cuéntenos el nombre del flujo, el ambiente (Demo o Desarrollo) y qué esperaba ver en el encabezado. Con esos tres datos podemos reproducirlo exactamente.</w:t>
            </w:r>
          </w:p>
        </w:tc>
      </w:tr>
    </w:tbl>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6570"/>
        <w:sz w:val="16"/>
        <w:szCs w:val="16"/>
      </w:rPr>
      <w:t xml:space="preserve">Steps App · Tesorería Correcciones 1 · 30-08-2026 · </w:t>
    </w:r>
    <w:r>
      <w:rPr>
        <w:color w:val="5A65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30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b5eb3ee1c6df19f23e1fb1353079e8589b97a9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Contabilidad / Tesorería — Correcciones 1</dc:title>
  <dc:creator>Steps App</dc:creator>
  <dc:description>Informe de entrega, pendientes y recomendaciones</dc:description>
  <cp:lastModifiedBy>Un-named</cp:lastModifiedBy>
  <cp:revision>1</cp:revision>
  <dcterms:created xsi:type="dcterms:W3CDTF">2026-08-30T01:05:31.094Z</dcterms:created>
  <dcterms:modified xsi:type="dcterms:W3CDTF">2026-08-30T01:05:31.095Z</dcterms:modified>
</cp:coreProperties>
</file>

<file path=docProps/custom.xml><?xml version="1.0" encoding="utf-8"?>
<Properties xmlns="http://schemas.openxmlformats.org/officeDocument/2006/custom-properties" xmlns:vt="http://schemas.openxmlformats.org/officeDocument/2006/docPropsVTypes"/>
</file>