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i w:val="0"/>
          <w:color w:val="E2633F"/>
          <w:sz w:val="18"/>
        </w:rPr>
        <w:t>INFORME DE AVANCE Y DEFINICIONES REQUERIDAS</w:t>
      </w:r>
    </w:p>
    <w:p>
      <w:pPr>
        <w:spacing w:before="0" w:after="100"/>
      </w:pPr>
      <w:r>
        <w:rPr>
          <w:rFonts w:ascii="Calibri" w:hAnsi="Calibri"/>
          <w:b/>
          <w:i w:val="0"/>
          <w:color w:val="123C33"/>
          <w:sz w:val="50"/>
        </w:rPr>
        <w:t>Módulo de Tesorería</w:t>
      </w:r>
    </w:p>
    <w:p>
      <w:pPr>
        <w:spacing w:after="280"/>
      </w:pPr>
      <w:r>
        <w:rPr>
          <w:rFonts w:ascii="Calibri" w:hAnsi="Calibri"/>
          <w:b w:val="0"/>
          <w:i w:val="0"/>
          <w:color w:val="63736E"/>
          <w:sz w:val="26"/>
        </w:rPr>
        <w:t>Implementación realizada, validaciones y especificación pendiente para archivos bancarios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8E2DD"/>
          <w:left w:val="single" w:sz="6" w:color="D8E2DD"/>
          <w:bottom w:val="single" w:sz="6" w:color="D8E2DD"/>
          <w:right w:val="single" w:sz="6" w:color="D8E2DD"/>
          <w:insideH w:val="single" w:sz="6" w:color="D8E2DD"/>
          <w:insideV w:val="single" w:sz="6" w:color="D8E2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9"/>
              </w:rPr>
              <w:t>Fecha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9"/>
              </w:rPr>
              <w:t>29 de agosto de 2026</w:t>
            </w:r>
          </w:p>
        </w:tc>
      </w:tr>
      <w:tr>
        <w:tc>
          <w:tcPr>
            <w:tcW w:type="dxa" w:w="210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9"/>
              </w:rPr>
              <w:t>Ambientes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9"/>
              </w:rPr>
              <w:t>Desarrollo, Demo y Demo-SyS</w:t>
            </w:r>
          </w:p>
        </w:tc>
      </w:tr>
      <w:tr>
        <w:tc>
          <w:tcPr>
            <w:tcW w:type="dxa" w:w="210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9"/>
              </w:rPr>
              <w:t>Estado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9"/>
              </w:rPr>
              <w:t>Release desplegado y validado</w:t>
            </w:r>
          </w:p>
        </w:tc>
      </w:tr>
      <w:tr>
        <w:tc>
          <w:tcPr>
            <w:tcW w:type="dxa" w:w="210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9"/>
              </w:rPr>
              <w:t>Dirigido 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9"/>
              </w:rPr>
              <w:t>Solicitante funcional, Finanzas/Tesorería, TI y contraparte bancaria</w:t>
            </w:r>
          </w:p>
        </w:tc>
      </w:tr>
    </w:tbl>
    <w:p>
      <w:pPr>
        <w:pStyle w:val="Heading1"/>
      </w:pPr>
      <w:r>
        <w:t>1. Resumen ejecutivo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2" w:color="E7F1EC"/>
          <w:left w:val="single" w:sz="2" w:color="E7F1EC"/>
          <w:bottom w:val="single" w:sz="2" w:color="E7F1EC"/>
          <w:right w:val="single" w:sz="2" w:color="E7F1EC"/>
          <w:insideH w:val="single" w:sz="2" w:color="E7F1EC"/>
          <w:insideV w:val="single" w:sz="2" w:color="E7F1E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C33"/>
                <w:sz w:val="21"/>
              </w:rPr>
              <w:t>Resultado principal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029"/>
                <w:sz w:val="21"/>
              </w:rPr>
              <w:t>El módulo de Tesorería quedó operativo y homologado en Desarrollo, Demo y Demo-SyS. Se completaron la portada, el PDF, las reglas de proyección, las pruebas de volumen y un mecanismo seguro de revisión de pagos. La única funcionalidad que no debe activarse todavía es el archivo bancario real, porque depende de una especificación que debe proporcionar y aprobar el banco junto con Tesorería.</w:t>
            </w:r>
          </w:p>
        </w:tc>
      </w:tr>
    </w:tbl>
    <w:p>
      <w:pPr>
        <w:spacing w:after="0"/>
      </w:pPr>
    </w:p>
    <w:p>
      <w:r>
        <w:rPr>
          <w:b/>
        </w:rPr>
        <w:t xml:space="preserve">Este pendiente no corresponde a una limitación de Odoo ni a falta de desarrollo base. </w:t>
      </w:r>
      <w:r>
        <w:t>Cada banco y convenio define campos, códigos, largos, validaciones, seguridad y respuestas diferentes. Generar un archivo sin esa definición podría provocar rechazos, duplicidades o instrucciones de pago incorrectas.</w:t>
      </w:r>
    </w:p>
    <w:p>
      <w:pPr>
        <w:pStyle w:val="Heading1"/>
      </w:pPr>
      <w:r>
        <w:t>2. Alcance revisado</w:t>
      </w:r>
    </w:p>
    <w:p>
      <w:r>
        <w:t>Se revisó el desarrollo previo, su arquitectura, migración desde Studio, comportamiento contable, interfaces, permisos, exportaciones y despliegue. El criterio fue conservar lo funcional y corregir únicamente aquello que impedía cumplir el requerimiento o podía producir cifras incoherentes.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Se mantuvo un único dataset de flujo de caja como fuente de detalle, resumen, KPI y exportaciones.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Las tres bases permanecieron separadas; no se copiaron ni mezclaron datos entre ambientes.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No se ejecutaron pagos, transferencias, archivos bancarios reales, correos ni integraciones externas.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Los desarrollos de Studio asociados a Tesorería se conservaron archivados, no eliminados, para permitir reversión y auditoría.</w:t>
      </w:r>
    </w:p>
    <w:p>
      <w:pPr>
        <w:pStyle w:val="Heading1"/>
      </w:pPr>
      <w:r>
        <w:t>3. Implementación realizada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8E2DD"/>
          <w:left w:val="single" w:sz="6" w:color="D8E2DD"/>
          <w:bottom w:val="single" w:sz="6" w:color="D8E2DD"/>
          <w:right w:val="single" w:sz="6" w:color="D8E2DD"/>
          <w:insideH w:val="single" w:sz="6" w:color="D8E2DD"/>
          <w:insideV w:val="single" w:sz="6" w:color="D8E2DD"/>
        </w:tblBorders>
      </w:tblPr>
      <w:tblGrid>
        <w:gridCol w:w="2050"/>
        <w:gridCol w:w="3750"/>
        <w:gridCol w:w="1900"/>
        <w:gridCol w:w="1660"/>
      </w:tblGrid>
      <w:tr>
        <w:trPr>
          <w:tblHeader w:val="true"/>
        </w:trPr>
        <w:tc>
          <w:tcPr>
            <w:tcW w:type="dxa" w:w="205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375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9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Ambientes</w:t>
            </w:r>
          </w:p>
        </w:tc>
        <w:tc>
          <w:tcPr>
            <w:tcW w:type="dxa" w:w="166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Núcleo de Tesorería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Flujo de caja canónico, monedas, estados, permisos y trazabilidad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Dev / Demo / Demo-SyS</w:t>
            </w:r>
          </w:p>
        </w:tc>
        <w:tc>
          <w:tcPr>
            <w:tcW w:type="dxa" w:w="16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7"/>
              </w:rPr>
              <w:t>Operativo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Dashboard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KPI, alertas, curva semanal, cubetas, accesos e historial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Dev / Demo / Demo-SyS</w:t>
            </w:r>
          </w:p>
        </w:tc>
        <w:tc>
          <w:tcPr>
            <w:tcW w:type="dxa" w:w="16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7"/>
              </w:rPr>
              <w:t>Operativo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Exportaciones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XLSX y PDF de revisión derivados del mismo resumen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Dev / Demo / Demo-SyS</w:t>
            </w:r>
          </w:p>
        </w:tc>
        <w:tc>
          <w:tcPr>
            <w:tcW w:type="dxa" w:w="16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7"/>
              </w:rPr>
              <w:t>Operativo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Pagos por lotes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CSV interno de revisión y contrato de adaptadores bancarios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Dev / Demo</w:t>
            </w:r>
          </w:p>
        </w:tc>
        <w:tc>
          <w:tcPr>
            <w:tcW w:type="dxa" w:w="16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7"/>
              </w:rPr>
              <w:t>Operativo y seguro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Puente agrícola</w:t>
            </w:r>
          </w:p>
        </w:tc>
        <w:tc>
          <w:tcPr>
            <w:tcW w:type="dxa" w:w="3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Vinculación opcional con fundo donde existe el motor agrícola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Dev / Demo</w:t>
            </w:r>
          </w:p>
        </w:tc>
        <w:tc>
          <w:tcPr>
            <w:tcW w:type="dxa" w:w="1660"/>
            <w:shd w:fill="E7F1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7"/>
              </w:rPr>
              <w:t>Operativo</w:t>
            </w:r>
          </w:p>
        </w:tc>
      </w:tr>
    </w:tbl>
    <w:p>
      <w:pPr>
        <w:pStyle w:val="Heading2"/>
      </w:pPr>
      <w:r>
        <w:t>3.1 Flujo de caja y datos contables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Facturas y notas de crédito se proyectan desde apuntes contables y saldos residuales, incluyendo cuotas y pagos parciales.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Pedidos de venta y compra usan la cantidad pendiente de facturar definida por Odoo, respetando las políticas por pedido, entrega o recepción.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El saldo inicial considera movimientos anteriores al inicio del horizonte y evita contar dos veces el primer día.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La moneda del flujo, moneda auxiliar, tipo de cambio y tasa congelada permiten revisar escenarios bimoneda con trazabilidad.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Los flujos aprobados quedan protegidos como una fotografía financiera; su reapertura requiere una acción explícita y auditada.</w:t>
      </w:r>
    </w:p>
    <w:p>
      <w:pPr>
        <w:pStyle w:val="Heading2"/>
      </w:pPr>
      <w:r>
        <w:t>3.2 Experiencia de usuario y reportabilidad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Portada moderna con escenario activo, saldo inicial/final, ingresos, egresos, saldo mínimo, alerta de déficit y curva semanal.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Accesos directos a nuevos flujos, analítica, conceptos, detalle e historial.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Estado vacío guiado para que una empresa sin datos comprenda cómo iniciar su primera proyección.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Scroll corregido y probado en la interfaz real de Odoo para evitar contenido inferior inaccesible.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Exportación XLSX y reporte PDF construidos desde la misma matriz que se visualiza en pantalla.</w:t>
      </w:r>
    </w:p>
    <w:p>
      <w:pPr>
        <w:pStyle w:val="Heading2"/>
      </w:pPr>
      <w:r>
        <w:t>3.3 Pagos por lotes y seguridad</w:t>
      </w:r>
    </w:p>
    <w:p>
      <w:r>
        <w:t>Cuando está disponible el motor estándar de pagos por lotes, el módulo ofrece un CSV de revisión interna. El archivo declara de forma visible que no es cargable al banco y omite datos de cuentas bancarias. Además, quedó creada una interfaz versionada para incorporar futuros adaptadores por banco sin modificar el núcleo.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2" w:color="FFF4D6"/>
          <w:left w:val="single" w:sz="2" w:color="FFF4D6"/>
          <w:bottom w:val="single" w:sz="2" w:color="FFF4D6"/>
          <w:right w:val="single" w:sz="2" w:color="FFF4D6"/>
          <w:insideH w:val="single" w:sz="2" w:color="FFF4D6"/>
          <w:insideV w:val="single" w:sz="2" w:color="FFF4D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>Control preventivo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029"/>
                <w:sz w:val="21"/>
              </w:rPr>
              <w:t>El adaptador bancario real permanece deshabilitado por defecto. Esto evita que un archivo preliminar sea confundido con una instrucción de pago válida.</w:t>
            </w:r>
          </w:p>
        </w:tc>
      </w:tr>
    </w:tbl>
    <w:p>
      <w:pPr>
        <w:spacing w:after="0"/>
      </w:pPr>
    </w:p>
    <w:p>
      <w:pPr>
        <w:pStyle w:val="Heading1"/>
      </w:pPr>
      <w:r>
        <w:t>4. Ambientes y homologación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8E2DD"/>
          <w:left w:val="single" w:sz="6" w:color="D8E2DD"/>
          <w:bottom w:val="single" w:sz="6" w:color="D8E2DD"/>
          <w:right w:val="single" w:sz="6" w:color="D8E2DD"/>
          <w:insideH w:val="single" w:sz="6" w:color="D8E2DD"/>
          <w:insideV w:val="single" w:sz="6" w:color="D8E2DD"/>
        </w:tblBorders>
      </w:tblPr>
      <w:tblGrid>
        <w:gridCol w:w="1600"/>
        <w:gridCol w:w="2100"/>
        <w:gridCol w:w="1700"/>
        <w:gridCol w:w="3960"/>
      </w:tblGrid>
      <w:tr>
        <w:trPr>
          <w:tblHeader w:val="true"/>
        </w:trPr>
        <w:tc>
          <w:tcPr>
            <w:tcW w:type="dxa" w:w="16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Ambiente</w:t>
            </w:r>
          </w:p>
        </w:tc>
        <w:tc>
          <w:tcPr>
            <w:tcW w:type="dxa" w:w="21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type="dxa" w:w="17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 núcleo</w:t>
            </w:r>
          </w:p>
        </w:tc>
        <w:tc>
          <w:tcPr>
            <w:tcW w:type="dxa" w:w="396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Desarrollo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LAB_TAREAS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18.0.1.1.1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HTTP 200; 2 flujos, 38 líneas, 12 conceptos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Demo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STEPS_DEMO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18.0.1.1.1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HTTP 200; portada guiada sin datos previos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Demo-SyS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STEPS_DEMO_SYS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18.0.1.1.1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HTTP 200; portada adaptada a Servicios Emca SpA</w:t>
            </w:r>
          </w:p>
        </w:tc>
      </w:tr>
    </w:tbl>
    <w:p>
      <w:pPr>
        <w:spacing w:before="80"/>
      </w:pPr>
      <w:r>
        <w:rPr>
          <w:rFonts w:ascii="Calibri" w:hAnsi="Calibri"/>
          <w:b/>
          <w:i w:val="0"/>
          <w:color w:val="123C33"/>
          <w:sz w:val="19"/>
        </w:rPr>
        <w:t xml:space="preserve">Código homologado: </w:t>
      </w:r>
      <w:r>
        <w:rPr>
          <w:rFonts w:ascii="Calibri" w:hAnsi="Calibri"/>
          <w:b w:val="0"/>
          <w:i w:val="0"/>
          <w:color w:val="63736E"/>
          <w:sz w:val="19"/>
        </w:rPr>
        <w:t>el núcleo presenta el mismo hash SHA-256 normalizado en los tres árboles de addons.</w:t>
      </w:r>
    </w:p>
    <w:p>
      <w:pPr>
        <w:pStyle w:val="Heading1"/>
      </w:pPr>
      <w:r>
        <w:t>5. Validaciones realizadas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54 pruebas del núcleo de Tesorería y 5 pruebas del puente de pagos por lotes: 59 pruebas aprobadas, sin fallos ni errores.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Instalación limpia y actualización sobre la versión anterior verificadas en bases desechables.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PDF generado correctamente, con cabecera válida y contenido derivado del resumen canónico.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Prueba con 5.000 líneas: resumen en 0,087 s, dashboard en 0,078 s y PDF en 2,823 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Validación real en navegador de Desarrollo, Demo y Demo-SyS, incluyendo portada con datos, estado vacío, assets y scroll.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Respaldos de las tres bases y de los addons almacenados en /opt/backups/tesoreria_codex_20260829/ y verificados con pg_restore --list.</w:t>
      </w:r>
    </w:p>
    <w:p>
      <w:r>
        <w:br w:type="page"/>
      </w:r>
    </w:p>
    <w:p>
      <w:pPr>
        <w:pStyle w:val="Heading1"/>
      </w:pPr>
      <w:r>
        <w:t>6. Pendiente funcional: archivo bancario real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2" w:color="FDEEEE"/>
          <w:left w:val="single" w:sz="2" w:color="FDEEEE"/>
          <w:bottom w:val="single" w:sz="2" w:color="FDEEEE"/>
          <w:right w:val="single" w:sz="2" w:color="FDEEEE"/>
          <w:insideH w:val="single" w:sz="2" w:color="FDEEEE"/>
          <w:insideV w:val="single" w:sz="2" w:color="FDEEE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E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>Decisión requerida del solicitante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029"/>
                <w:sz w:val="21"/>
              </w:rPr>
              <w:t>Definir el banco, convenio y formato oficial que se utilizará. La especificación debe ser entregada y validada por la contraparte bancaria; no basta con indicar que se necesita un TXT o CSV.</w:t>
            </w:r>
          </w:p>
        </w:tc>
      </w:tr>
    </w:tbl>
    <w:p>
      <w:pPr>
        <w:spacing w:after="0"/>
      </w:pPr>
    </w:p>
    <w:p>
      <w:r>
        <w:t>El archivo bancario es una instrucción operativa potencialmente capaz de movilizar fondos. Su estructura no es universal: cambia entre bancos, productos, países, versiones de convenio y canales de transmisión. Por ello, la implementación responsable requiere información formal, ejemplos y una prueba de certificación antes de habilitarla.</w:t>
      </w:r>
    </w:p>
    <w:p>
      <w:pPr>
        <w:pStyle w:val="Heading2"/>
      </w:pPr>
      <w:r>
        <w:t>6.1 Información que debe definirse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8E2DD"/>
          <w:left w:val="single" w:sz="6" w:color="D8E2DD"/>
          <w:bottom w:val="single" w:sz="6" w:color="D8E2DD"/>
          <w:right w:val="single" w:sz="6" w:color="D8E2DD"/>
          <w:insideH w:val="single" w:sz="6" w:color="D8E2DD"/>
          <w:insideV w:val="single" w:sz="6" w:color="D8E2DD"/>
        </w:tblBorders>
      </w:tblPr>
      <w:tblGrid>
        <w:gridCol w:w="1700"/>
        <w:gridCol w:w="4010"/>
        <w:gridCol w:w="1650"/>
        <w:gridCol w:w="2000"/>
      </w:tblGrid>
      <w:tr>
        <w:trPr>
          <w:tblHeader w:val="true"/>
        </w:trPr>
        <w:tc>
          <w:tcPr>
            <w:tcW w:type="dxa" w:w="17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Definición requerida</w:t>
            </w:r>
          </w:p>
        </w:tc>
        <w:tc>
          <w:tcPr>
            <w:tcW w:type="dxa" w:w="401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Qué debe indicar el solicitante</w:t>
            </w:r>
          </w:p>
        </w:tc>
        <w:tc>
          <w:tcPr>
            <w:tcW w:type="dxa" w:w="165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Quién confirma</w:t>
            </w:r>
          </w:p>
        </w:tc>
        <w:tc>
          <w:tcPr>
            <w:tcW w:type="dxa" w:w="200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Evidencia necesaria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Banco y servicio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Banco, país, producto de pagos, número de convenio y versión del formato.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 + banco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Manual técnico vigente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Estructura del archivo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Delimitado o largo fijo; cabecera, detalle y tráiler; orden y obligatoriedad de campos.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Layout oficial y archivo ejemplo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Codificación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UTF-8, ISO-8859-1 u otra; separador; CRLF/LF; comillas; rellenos y largos.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 / TI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Especificación técnica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Importes y fechas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Separador decimal, redondeo, moneda, signo, formatos de fecha y zona horaria.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 + banco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Casos aceptados y rechazados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Cuenta de cargo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Empresa/RUT, cuenta, tipo de cuenta, moneda y reglas de disponibilidad.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Datos del convenio, entregados por canal seguro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Beneficiario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RUT/identificador, nombre, banco, tipo y número de cuenta y campos opcionales.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 + banco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Catálogo de códigos bancarios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Reglas del lote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Agrupación por empresa, cuenta, banco, moneda o fecha; máximos de filas e importe.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Regla funcional aprobada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Elegibilidad en Odoo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Estados de pago admitidos, aprobaciones requeridas y tratamiento de anulados/reintentados.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Tesorería + Control Interno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Matriz de estados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Nombre y seguridad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Patrón del nombre; correlativo; checksum; firma; cifrado; compresión.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 + TI/Seguridad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Manual y llaves por canal seguro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Transmisión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Descarga manual, portal bancario, SFTP o API; horarios, autenticación y reintentos.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 + TI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Guía de conectividad/sandbox</w:t>
            </w:r>
          </w:p>
        </w:tc>
      </w:tr>
      <w:tr>
        <w:tc>
          <w:tcPr>
            <w:tcW w:type="dxa" w:w="1700"/>
            <w:shd w:fill="F2F6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23C33"/>
                <w:sz w:val="16"/>
              </w:rPr>
              <w:t>Respuesta bancaria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Archivo o API de aceptación, rechazo y conciliación; códigos y mensajes.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Banco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6"/>
              </w:rPr>
              <w:t>Catálogo de respuestas</w:t>
            </w:r>
          </w:p>
        </w:tc>
      </w:tr>
    </w:tbl>
    <w:p>
      <w:pPr>
        <w:pStyle w:val="Heading2"/>
      </w:pPr>
      <w:r>
        <w:t>6.2 Entregables mínimos que debe proporcionar el solicitante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Manual técnico oficial y vigente del banco para el producto contratado.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Uno o más archivos de ejemplo aceptados por el banco, anonimizados si contienen datos reales.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Ejemplo de archivo rechazado y catálogo de códigos de error o respuesta.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Matriz que relacione cada campo bancario con el dato de Odoo y su regla de transformación.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Reglas internas de aprobación, segregación de funciones y usuarios autorizados para generar o descargar archivos.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Acceso a sandbox o ambiente de certificación. Las credenciales deben entregarse mediante un canal seguro y nunca incorporarse al documento ni al repositorio.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Nombre de las personas que aprobarán la cuadratura funcional y la certificación técnica.</w:t>
      </w:r>
    </w:p>
    <w:p>
      <w:pPr>
        <w:pStyle w:val="Heading1"/>
      </w:pPr>
      <w:r>
        <w:t>7. Cómo completar la definición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Solicitar al ejecutivo o equipo técnico del banco el manual del formato exacto asociado al convenio contratado.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Realizar una sesión de mapeo entre Tesorería, Contabilidad, TI, Control Interno y Steps para completar cada campo y regla.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Aprobar por escrito la matriz de campos, estados elegibles, agrupaciones, controles de duplicidad y autorizaciones.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Desarrollar un adaptador independiente identificado por banco, producto y versión; el núcleo de Tesorería no debe hardcodearse.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Generar casos de prueba en Demo: pago simple, varios beneficiarios, monedas, máximos, datos inválidos, duplicado y rechazo.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Enviar los archivos al sandbox del banco y corregir sólo contra respuestas oficiales.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029"/>
          <w:sz w:val="22"/>
        </w:rPr>
        <w:t>Firmar un acta de aceptación y habilitar el adaptador inicialmente con acceso restringido y monitoreo.</w:t>
      </w:r>
    </w:p>
    <w:p>
      <w:pPr>
        <w:pStyle w:val="Heading1"/>
      </w:pPr>
      <w:r>
        <w:t>8. Criterios para considerar terminado el archivo bancario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6" w:color="D8E2DD"/>
          <w:left w:val="single" w:sz="6" w:color="D8E2DD"/>
          <w:bottom w:val="single" w:sz="6" w:color="D8E2DD"/>
          <w:right w:val="single" w:sz="6" w:color="D8E2DD"/>
          <w:insideH w:val="single" w:sz="6" w:color="D8E2DD"/>
          <w:insideV w:val="single" w:sz="6" w:color="D8E2DD"/>
        </w:tblBorders>
      </w:tblPr>
      <w:tblGrid>
        <w:gridCol w:w="2150"/>
        <w:gridCol w:w="4250"/>
        <w:gridCol w:w="2960"/>
      </w:tblGrid>
      <w:tr>
        <w:trPr>
          <w:tblHeader w:val="true"/>
        </w:trPr>
        <w:tc>
          <w:tcPr>
            <w:tcW w:type="dxa" w:w="215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425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2960"/>
            <w:shd w:fill="123C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 de aceptación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Formato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El banco acepta el archivo de prueba sin correcciones manuales.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Comprobante o respuesta del sandbox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Cuadratura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Cantidad e importe total coinciden entre Odoo, archivo y respuesta bancaria.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Acta de conciliación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Seguridad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No se exponen credenciales; permisos y datos sensibles cumplen la política acordada.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Revisión TI/Seguridad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Control de duplicados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Un lote ya exportado no puede reenviarse accidentalmente con la misma identidad.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Prueba de idempotencia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Rechazos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Los errores del banco quedan identificados y pueden corregirse y reprocesarse.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Caso de rechazo controlado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Multiempresa/moneda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La separación de empresa, cuenta y moneda coincide con el convenio.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Casos funcionales aprobados</w:t>
            </w:r>
          </w:p>
        </w:tc>
      </w:tr>
      <w:tr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Auditoría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Quedan registrados usuario, fecha, versión del adaptador, lote y archivo generado.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73029"/>
                <w:sz w:val="17"/>
              </w:rPr>
              <w:t>Registro de auditoría Odoo</w:t>
            </w:r>
          </w:p>
        </w:tc>
      </w:tr>
    </w:tbl>
    <w:p>
      <w:pPr>
        <w:pStyle w:val="Heading1"/>
      </w:pPr>
      <w:r>
        <w:t>9. Observaciones técnicas no bloqueantes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2" w:color="F2F4F7"/>
          <w:left w:val="single" w:sz="2" w:color="F2F4F7"/>
          <w:bottom w:val="single" w:sz="2" w:color="F2F4F7"/>
          <w:right w:val="single" w:sz="2" w:color="F2F4F7"/>
          <w:insideH w:val="single" w:sz="2" w:color="F2F4F7"/>
          <w:insideV w:val="single" w:sz="2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23C33"/>
                <w:sz w:val="21"/>
              </w:rPr>
              <w:t>Seguimiento recomendado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029"/>
                <w:sz w:val="21"/>
              </w:rPr>
              <w:t>Estas observaciones no impiden usar Tesorería, pero deben incorporarse al mantenimiento técnico del servidor.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steps_api figura instalado en Desarrollo y Demo, pero su código no está disponible en el addons_path. Debe recuperarse el addon o desinstalarse de forma planificada después de revisar dependencias.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029"/>
          <w:sz w:val="22"/>
        </w:rPr>
        <w:t>Durante una compilación inicial y concurrente de assets en Demo se agotó transitoriamente el pool de seis conexiones. El servicio se recuperó y no hubo errores posteriores; si se repite con tráfico normal, debe dimensionarse el pool y la concurrencia del servicio.</w:t>
      </w:r>
    </w:p>
    <w:p>
      <w:pPr>
        <w:pStyle w:val="Heading1"/>
      </w:pPr>
      <w:r>
        <w:t>10. Conclusión</w:t>
      </w:r>
    </w:p>
    <w:p>
      <w:pPr>
        <w:spacing w:after="240"/>
      </w:pPr>
      <w:r>
        <w:t>Tesorería ya puede utilizarse para construir, revisar, explicar y exportar proyecciones de caja en los tres ambientes. El diseño permite incorporar formatos bancarios sin rehacer el módulo. Para avanzar con pagos reales, el siguiente paso no es programar a ciegas: es cerrar la definición bancaria, obtener evidencia oficial y certificar el adaptador en un ambiente controlado.</w:t>
      </w:r>
      <w:r>
        <w:rPr>
          <w:rFonts w:ascii="Calibri" w:hAnsi="Calibri"/>
          <w:b/>
          <w:i w:val="0"/>
          <w:color w:val="123C33"/>
          <w:sz w:val="22"/>
        </w:rPr>
        <w:t xml:space="preserve"> Responsabilidad solicitada: </w:t>
      </w:r>
      <w:r>
        <w:rPr>
          <w:rFonts w:ascii="Calibri" w:hAnsi="Calibri"/>
          <w:b w:val="0"/>
          <w:i w:val="0"/>
          <w:color w:val="173029"/>
          <w:sz w:val="22"/>
        </w:rPr>
        <w:t>designar contraparte funcional y bancaria, entregar la documentación indicada y aprobar la matriz antes del desarrollo del adaptador.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3736E"/>
        <w:sz w:val="17"/>
      </w:rPr>
      <w:t xml:space="preserve">Tesorería  ·  29 de agosto de 2026  |  Página </w:t>
    </w:r>
    <w:r>
      <w:rPr>
        <w:rFonts w:ascii="Calibri" w:hAnsi="Calibri"/>
        <w:b w:val="0"/>
        <w:i w:val="0"/>
        <w:color w:val="63736E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3736E"/>
        <w:sz w:val="17"/>
      </w:rPr>
      <w:t>STEPS  |  INFORME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30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C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8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C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173029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173029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de Tesorería - implementación y definiciones pendientes</dc:title>
  <dc:subject>Informe de avance, validaciones y requisitos para archivo bancario</dc:subject>
  <dc:creator>Steps</dc:creator>
  <cp:keywords>Odoo, Tesorería, flujo de caja, archivo bancario, pagos</cp:keywords>
  <dc:description>Documento preparado para revisión funcional y técnica.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