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3C9BDD"/>
          <w:sz w:val="18"/>
        </w:rPr>
        <w:t>STEPS APP  ·  FORMULARIO PARA EL CLIENTE</w:t>
      </w:r>
    </w:p>
    <w:p>
      <w:pPr>
        <w:spacing w:after="40"/>
      </w:pPr>
      <w:r>
        <w:rPr>
          <w:rFonts w:ascii="Calibri" w:hAnsi="Calibri"/>
          <w:b/>
          <w:color w:val="1F3A5F"/>
          <w:sz w:val="38"/>
        </w:rPr>
        <w:t>Pagos por lotes — información que necesitamos para implementar</w:t>
      </w:r>
    </w:p>
    <w:p>
      <w:pPr>
        <w:spacing w:after="200"/>
      </w:pPr>
      <w:r>
        <w:rPr>
          <w:rFonts w:ascii="Calibri" w:hAnsi="Calibri"/>
          <w:i w:val="0"/>
          <w:color w:val="5A6570"/>
          <w:sz w:val="23"/>
        </w:rPr>
        <w:t>Módulo 2.3.1 Contabilidad / Tesorería — nómina bancaria y lotes de pago</w:t>
      </w:r>
    </w:p>
    <w:tbl>
      <w:tblPr>
        <w:tblW w:type="auto" w:w="0"/>
        <w:tblLayout w:type="fixed"/>
        <w:tblLook w:firstColumn="1" w:firstRow="1" w:lastColumn="0" w:lastRow="0" w:noHBand="0" w:noVBand="1" w:val="04A0"/>
        <w:tblBorders>
          <w:top w:val="single" w:sz="6" w:space="0" w:color="D3DBE3"/>
          <w:left w:val="single" w:sz="6" w:space="0" w:color="D3DBE3"/>
          <w:bottom w:val="single" w:sz="6" w:space="0" w:color="D3DBE3"/>
          <w:right w:val="single" w:sz="6" w:space="0" w:color="D3DBE3"/>
          <w:insideH w:val="single" w:sz="6" w:space="0" w:color="D3DBE3"/>
          <w:insideV w:val="single" w:sz="6" w:space="0" w:color="D3DBE3"/>
        </w:tblBorders>
      </w:tblPr>
      <w:tblGrid>
        <w:gridCol w:w="2448"/>
        <w:gridCol w:w="2448"/>
        <w:gridCol w:w="2448"/>
        <w:gridCol w:w="2448"/>
      </w:tblGrid>
      <w:tr>
        <w:tc>
          <w:tcPr>
            <w:tcW w:type="dxa" w:w="2160"/>
            <w:shd w:val="clear" w:color="auto" w:fill="1F3A5F"/>
          </w:tcPr>
          <w:p>
            <w:pPr>
              <w:spacing w:before="40" w:after="40"/>
            </w:pPr>
            <w:r/>
            <w:r>
              <w:rPr>
                <w:rFonts w:ascii="Calibri" w:hAnsi="Calibri"/>
                <w:b/>
                <w:color w:val="FFFFFF"/>
                <w:sz w:val="19"/>
              </w:rPr>
              <w:t>Fecha</w:t>
            </w:r>
          </w:p>
        </w:tc>
        <w:tc>
          <w:tcPr>
            <w:tcW w:type="dxa" w:w="3168"/>
            <w:shd w:val="clear" w:color="auto" w:fill="1F3A5F"/>
          </w:tcPr>
          <w:p>
            <w:pPr>
              <w:spacing w:before="40" w:after="40"/>
            </w:pPr>
            <w:r/>
            <w:r>
              <w:rPr>
                <w:rFonts w:ascii="Calibri" w:hAnsi="Calibri"/>
                <w:b/>
                <w:color w:val="FFFFFF"/>
                <w:sz w:val="19"/>
              </w:rPr>
              <w:t>Módulo</w:t>
            </w:r>
          </w:p>
        </w:tc>
        <w:tc>
          <w:tcPr>
            <w:tcW w:type="dxa" w:w="2304"/>
            <w:shd w:val="clear" w:color="auto" w:fill="1F3A5F"/>
          </w:tcPr>
          <w:p>
            <w:pPr>
              <w:spacing w:before="40" w:after="40"/>
            </w:pPr>
            <w:r/>
            <w:r>
              <w:rPr>
                <w:rFonts w:ascii="Calibri" w:hAnsi="Calibri"/>
                <w:b/>
                <w:color w:val="FFFFFF"/>
                <w:sz w:val="19"/>
              </w:rPr>
              <w:t>Ambientes de destino</w:t>
            </w:r>
          </w:p>
        </w:tc>
        <w:tc>
          <w:tcPr>
            <w:tcW w:type="dxa" w:w="2160"/>
            <w:shd w:val="clear" w:color="auto" w:fill="1F3A5F"/>
          </w:tcPr>
          <w:p>
            <w:pPr>
              <w:spacing w:before="40" w:after="40"/>
            </w:pPr>
            <w:r/>
            <w:r>
              <w:rPr>
                <w:rFonts w:ascii="Calibri" w:hAnsi="Calibri"/>
                <w:b/>
                <w:color w:val="FFFFFF"/>
                <w:sz w:val="19"/>
              </w:rPr>
              <w:t>Estado</w:t>
            </w:r>
          </w:p>
        </w:tc>
      </w:tr>
      <w:tr>
        <w:tc>
          <w:tcPr>
            <w:tcW w:type="dxa" w:w="2160"/>
            <w:shd w:val="clear" w:color="auto" w:fill="F5F7F9"/>
          </w:tcPr>
          <w:p>
            <w:pPr>
              <w:spacing w:before="40" w:after="40"/>
            </w:pPr>
            <w:r/>
            <w:r>
              <w:rPr>
                <w:rFonts w:ascii="Calibri" w:hAnsi="Calibri"/>
                <w:b/>
                <w:color w:val="23303B"/>
                <w:sz w:val="19"/>
              </w:rPr>
              <w:t>30 de agosto de 2026</w:t>
            </w:r>
          </w:p>
        </w:tc>
        <w:tc>
          <w:tcPr>
            <w:tcW w:type="dxa" w:w="3168"/>
          </w:tcPr>
          <w:p>
            <w:pPr>
              <w:spacing w:before="40" w:after="40"/>
            </w:pPr>
            <w:r/>
            <w:r>
              <w:rPr>
                <w:rFonts w:ascii="Calibri" w:hAnsi="Calibri"/>
                <w:b w:val="0"/>
                <w:color w:val="23303B"/>
                <w:sz w:val="19"/>
              </w:rPr>
              <w:t>Tesorería · pagos por lotes 18.0.1.2.0</w:t>
            </w:r>
          </w:p>
        </w:tc>
        <w:tc>
          <w:tcPr>
            <w:tcW w:type="dxa" w:w="2304"/>
          </w:tcPr>
          <w:p>
            <w:pPr>
              <w:spacing w:before="40" w:after="40"/>
            </w:pPr>
            <w:r/>
            <w:r>
              <w:rPr>
                <w:rFonts w:ascii="Calibri" w:hAnsi="Calibri"/>
                <w:b w:val="0"/>
                <w:color w:val="23303B"/>
                <w:sz w:val="19"/>
              </w:rPr>
              <w:t>Desarrollo, Demo y Demo-SyS</w:t>
            </w:r>
          </w:p>
        </w:tc>
        <w:tc>
          <w:tcPr>
            <w:tcW w:type="dxa" w:w="2160"/>
          </w:tcPr>
          <w:p>
            <w:pPr>
              <w:spacing w:before="40" w:after="40"/>
            </w:pPr>
            <w:r/>
            <w:r>
              <w:rPr>
                <w:rFonts w:ascii="Calibri" w:hAnsi="Calibri"/>
                <w:b w:val="0"/>
                <w:color w:val="23303B"/>
                <w:sz w:val="19"/>
              </w:rPr>
              <w:t>1 de 3 requerimientos implementado; 2 esperan información</w:t>
            </w:r>
          </w:p>
        </w:tc>
      </w:tr>
    </w:tbl>
    <w:p>
      <w:pPr>
        <w:spacing w:after="40"/>
      </w:pPr>
    </w:p>
    <w:tbl>
      <w:tblPr>
        <w:tblW w:type="auto" w:w="0"/>
        <w:jc w:val="center"/>
        <w:tblLook w:firstColumn="1" w:firstRow="1" w:lastColumn="0" w:lastRow="0" w:noHBand="0" w:noVBand="1" w:val="04A0"/>
        <w:tblBorders>
          <w:top w:val="single" w:sz="6" w:space="0" w:color="BBD6EC"/>
          <w:left w:val="single" w:sz="6" w:space="0" w:color="BBD6EC"/>
          <w:bottom w:val="single" w:sz="6" w:space="0" w:color="BBD6EC"/>
          <w:right w:val="single" w:sz="6" w:space="0" w:color="BBD6EC"/>
          <w:insideH w:val="single" w:sz="6" w:space="0" w:color="BBD6EC"/>
          <w:insideV w:val="single" w:sz="6" w:space="0" w:color="BBD6EC"/>
        </w:tblBorders>
      </w:tblPr>
      <w:tblGrid>
        <w:gridCol w:w="9792"/>
      </w:tblGrid>
      <w:tr>
        <w:tc>
          <w:tcPr>
            <w:tcW w:type="dxa" w:w="9792"/>
            <w:shd w:val="clear" w:color="auto" w:fill="EAF3FB"/>
          </w:tcPr>
          <w:p>
            <w:pPr>
              <w:spacing w:before="80" w:after="40"/>
            </w:pPr>
            <w:r/>
            <w:r>
              <w:rPr>
                <w:rFonts w:ascii="Calibri" w:hAnsi="Calibri"/>
                <w:b/>
                <w:color w:val="1F3A5F"/>
                <w:sz w:val="20"/>
              </w:rPr>
              <w:t>Cómo usar este documento</w:t>
            </w:r>
          </w:p>
          <w:p>
            <w:pPr>
              <w:spacing w:after="80"/>
            </w:pPr>
            <w:r>
              <w:rPr>
                <w:rFonts w:ascii="Calibri" w:hAnsi="Calibri"/>
                <w:color w:val="23303B"/>
                <w:sz w:val="20"/>
              </w:rPr>
              <w:t>Las secciones 3 a 5 son las que bloquean la construcción: sin esos datos no se puede generar un archivo que el banco acepte. La sección 6 sólo pide confirmar reglas de lo que ya está funcionando. Si prefiere, en vez de completar la sección 3 puede enviarnos el manual del convenio de cada banco y un archivo de ejemplo aprobado: con eso la completamos nosotros y ustedes sólo revisan.</w:t>
            </w:r>
          </w:p>
        </w:tc>
      </w:tr>
    </w:tbl>
    <w:p>
      <w:pPr>
        <w:spacing w:after="40"/>
      </w:pPr>
    </w:p>
    <w:p>
      <w:pPr>
        <w:keepNext/>
        <w:spacing w:before="220" w:after="80"/>
      </w:pPr>
      <w:r>
        <w:rPr>
          <w:rFonts w:ascii="Calibri" w:hAnsi="Calibri"/>
          <w:b/>
          <w:color w:val="1F3A5F"/>
          <w:sz w:val="28"/>
        </w:rPr>
        <w:t>1. Qué se pidió y en qué está cada punto</w:t>
      </w:r>
    </w:p>
    <w:tbl>
      <w:tblPr>
        <w:tblW w:type="auto" w:w="0"/>
        <w:tblLayout w:type="fixed"/>
        <w:tblLook w:firstColumn="1" w:firstRow="1" w:lastColumn="0" w:lastRow="0" w:noHBand="0" w:noVBand="1" w:val="04A0"/>
        <w:tblBorders>
          <w:top w:val="single" w:sz="6" w:space="0" w:color="D3DBE3"/>
          <w:left w:val="single" w:sz="6" w:space="0" w:color="D3DBE3"/>
          <w:bottom w:val="single" w:sz="6" w:space="0" w:color="D3DBE3"/>
          <w:right w:val="single" w:sz="6" w:space="0" w:color="D3DBE3"/>
          <w:insideH w:val="single" w:sz="6" w:space="0" w:color="D3DBE3"/>
          <w:insideV w:val="single" w:sz="6" w:space="0" w:color="D3DBE3"/>
        </w:tblBorders>
      </w:tblPr>
      <w:tblGrid>
        <w:gridCol w:w="2448"/>
        <w:gridCol w:w="2448"/>
        <w:gridCol w:w="2448"/>
        <w:gridCol w:w="2448"/>
      </w:tblGrid>
      <w:tr>
        <w:tc>
          <w:tcPr>
            <w:tcW w:type="dxa" w:w="432"/>
            <w:shd w:val="clear" w:color="auto" w:fill="1F3A5F"/>
          </w:tcPr>
          <w:p>
            <w:pPr>
              <w:spacing w:before="40" w:after="40"/>
            </w:pPr>
            <w:r/>
            <w:r>
              <w:rPr>
                <w:rFonts w:ascii="Calibri" w:hAnsi="Calibri"/>
                <w:b/>
                <w:color w:val="FFFFFF"/>
                <w:sz w:val="19"/>
              </w:rPr>
              <w:t>#</w:t>
            </w:r>
          </w:p>
        </w:tc>
        <w:tc>
          <w:tcPr>
            <w:tcW w:type="dxa" w:w="4320"/>
            <w:shd w:val="clear" w:color="auto" w:fill="1F3A5F"/>
          </w:tcPr>
          <w:p>
            <w:pPr>
              <w:spacing w:before="40" w:after="40"/>
            </w:pPr>
            <w:r/>
            <w:r>
              <w:rPr>
                <w:rFonts w:ascii="Calibri" w:hAnsi="Calibri"/>
                <w:b/>
                <w:color w:val="FFFFFF"/>
                <w:sz w:val="19"/>
              </w:rPr>
              <w:t>Requerimiento</w:t>
            </w:r>
          </w:p>
        </w:tc>
        <w:tc>
          <w:tcPr>
            <w:tcW w:type="dxa" w:w="1584"/>
            <w:shd w:val="clear" w:color="auto" w:fill="1F3A5F"/>
          </w:tcPr>
          <w:p>
            <w:pPr>
              <w:spacing w:before="40" w:after="40"/>
            </w:pPr>
            <w:r/>
            <w:r>
              <w:rPr>
                <w:rFonts w:ascii="Calibri" w:hAnsi="Calibri"/>
                <w:b/>
                <w:color w:val="FFFFFF"/>
                <w:sz w:val="19"/>
              </w:rPr>
              <w:t>Estado</w:t>
            </w:r>
          </w:p>
        </w:tc>
        <w:tc>
          <w:tcPr>
            <w:tcW w:type="dxa" w:w="3456"/>
            <w:shd w:val="clear" w:color="auto" w:fill="1F3A5F"/>
          </w:tcPr>
          <w:p>
            <w:pPr>
              <w:spacing w:before="40" w:after="40"/>
            </w:pPr>
            <w:r/>
            <w:r>
              <w:rPr>
                <w:rFonts w:ascii="Calibri" w:hAnsi="Calibri"/>
                <w:b/>
                <w:color w:val="FFFFFF"/>
                <w:sz w:val="19"/>
              </w:rPr>
              <w:t>Qué falta</w:t>
            </w:r>
          </w:p>
        </w:tc>
      </w:tr>
      <w:tr>
        <w:tc>
          <w:tcPr>
            <w:tcW w:type="dxa" w:w="432"/>
            <w:shd w:val="clear" w:color="auto" w:fill="F5F7F9"/>
          </w:tcPr>
          <w:p>
            <w:pPr>
              <w:spacing w:before="40" w:after="40"/>
            </w:pPr>
            <w:r/>
            <w:r>
              <w:rPr>
                <w:rFonts w:ascii="Calibri" w:hAnsi="Calibri"/>
                <w:b/>
                <w:color w:val="23303B"/>
                <w:sz w:val="19"/>
              </w:rPr>
              <w:t>1</w:t>
            </w:r>
          </w:p>
        </w:tc>
        <w:tc>
          <w:tcPr>
            <w:tcW w:type="dxa" w:w="4320"/>
          </w:tcPr>
          <w:p>
            <w:pPr>
              <w:spacing w:before="40" w:after="40"/>
            </w:pPr>
            <w:r/>
            <w:r>
              <w:rPr>
                <w:rFonts w:ascii="Calibri" w:hAnsi="Calibri"/>
                <w:b w:val="0"/>
                <w:color w:val="23303B"/>
                <w:sz w:val="19"/>
              </w:rPr>
              <w:t>TXT de nómina para subir al banco (Estado, Chile, Santander, Itaú, Scotiabank, BICE)</w:t>
            </w:r>
          </w:p>
        </w:tc>
        <w:tc>
          <w:tcPr>
            <w:tcW w:type="dxa" w:w="1584"/>
          </w:tcPr>
          <w:p>
            <w:pPr>
              <w:spacing w:before="40" w:after="40"/>
            </w:pPr>
            <w:r/>
            <w:r>
              <w:rPr>
                <w:rFonts w:ascii="Calibri" w:hAnsi="Calibri"/>
                <w:b w:val="0"/>
                <w:color w:val="23303B"/>
                <w:sz w:val="19"/>
              </w:rPr>
              <w:t>Pendiente</w:t>
            </w:r>
          </w:p>
        </w:tc>
        <w:tc>
          <w:tcPr>
            <w:tcW w:type="dxa" w:w="3456"/>
          </w:tcPr>
          <w:p>
            <w:pPr>
              <w:spacing w:before="40" w:after="40"/>
            </w:pPr>
            <w:r/>
            <w:r>
              <w:rPr>
                <w:rFonts w:ascii="Calibri" w:hAnsi="Calibri"/>
                <w:b w:val="0"/>
                <w:color w:val="23303B"/>
                <w:sz w:val="19"/>
              </w:rPr>
              <w:t>La especificación del archivo de cada banco — sección 3</w:t>
            </w:r>
          </w:p>
        </w:tc>
      </w:tr>
      <w:tr>
        <w:tc>
          <w:tcPr>
            <w:tcW w:type="dxa" w:w="432"/>
            <w:shd w:val="clear" w:color="auto" w:fill="F5F7F9"/>
          </w:tcPr>
          <w:p>
            <w:pPr>
              <w:spacing w:before="40" w:after="40"/>
            </w:pPr>
            <w:r/>
            <w:r>
              <w:rPr>
                <w:rFonts w:ascii="Calibri" w:hAnsi="Calibri"/>
                <w:b/>
                <w:color w:val="23303B"/>
                <w:sz w:val="19"/>
              </w:rPr>
              <w:t>2</w:t>
            </w:r>
          </w:p>
        </w:tc>
        <w:tc>
          <w:tcPr>
            <w:tcW w:type="dxa" w:w="4320"/>
          </w:tcPr>
          <w:p>
            <w:pPr>
              <w:spacing w:before="40" w:after="40"/>
            </w:pPr>
            <w:r/>
            <w:r>
              <w:rPr>
                <w:rFonts w:ascii="Calibri" w:hAnsi="Calibri"/>
                <w:b w:val="0"/>
                <w:color w:val="23303B"/>
                <w:sz w:val="19"/>
              </w:rPr>
              <w:t>Integración directa con la API del banco para subir la nómina</w:t>
            </w:r>
          </w:p>
        </w:tc>
        <w:tc>
          <w:tcPr>
            <w:tcW w:type="dxa" w:w="1584"/>
          </w:tcPr>
          <w:p>
            <w:pPr>
              <w:spacing w:before="40" w:after="40"/>
            </w:pPr>
            <w:r/>
            <w:r>
              <w:rPr>
                <w:rFonts w:ascii="Calibri" w:hAnsi="Calibri"/>
                <w:b w:val="0"/>
                <w:color w:val="23303B"/>
                <w:sz w:val="19"/>
              </w:rPr>
              <w:t>Pendiente</w:t>
            </w:r>
          </w:p>
        </w:tc>
        <w:tc>
          <w:tcPr>
            <w:tcW w:type="dxa" w:w="3456"/>
          </w:tcPr>
          <w:p>
            <w:pPr>
              <w:spacing w:before="40" w:after="40"/>
            </w:pPr>
            <w:r/>
            <w:r>
              <w:rPr>
                <w:rFonts w:ascii="Calibri" w:hAnsi="Calibri"/>
                <w:b w:val="0"/>
                <w:color w:val="23303B"/>
                <w:sz w:val="19"/>
              </w:rPr>
              <w:t>Banco piloto, credenciales y ambiente de pruebas — sección 5</w:t>
            </w:r>
          </w:p>
        </w:tc>
      </w:tr>
      <w:tr>
        <w:tc>
          <w:tcPr>
            <w:tcW w:type="dxa" w:w="432"/>
            <w:shd w:val="clear" w:color="auto" w:fill="F5F7F9"/>
          </w:tcPr>
          <w:p>
            <w:pPr>
              <w:spacing w:before="40" w:after="40"/>
            </w:pPr>
            <w:r/>
            <w:r>
              <w:rPr>
                <w:rFonts w:ascii="Calibri" w:hAnsi="Calibri"/>
                <w:b/>
                <w:color w:val="23303B"/>
                <w:sz w:val="19"/>
              </w:rPr>
              <w:t>3</w:t>
            </w:r>
          </w:p>
        </w:tc>
        <w:tc>
          <w:tcPr>
            <w:tcW w:type="dxa" w:w="4320"/>
          </w:tcPr>
          <w:p>
            <w:pPr>
              <w:spacing w:before="40" w:after="40"/>
            </w:pPr>
            <w:r/>
            <w:r>
              <w:rPr>
                <w:rFonts w:ascii="Calibri" w:hAnsi="Calibri"/>
                <w:b w:val="0"/>
                <w:color w:val="23303B"/>
                <w:sz w:val="19"/>
              </w:rPr>
              <w:t>Crear lotes desde el flujo de caja, eligiendo qué documentos se pagan</w:t>
            </w:r>
          </w:p>
        </w:tc>
        <w:tc>
          <w:tcPr>
            <w:tcW w:type="dxa" w:w="1584"/>
          </w:tcPr>
          <w:p>
            <w:pPr>
              <w:spacing w:before="40" w:after="40"/>
            </w:pPr>
            <w:r/>
            <w:r>
              <w:rPr>
                <w:rFonts w:ascii="Calibri" w:hAnsi="Calibri"/>
                <w:b w:val="0"/>
                <w:color w:val="23303B"/>
                <w:sz w:val="19"/>
              </w:rPr>
              <w:t>Implementado</w:t>
            </w:r>
          </w:p>
        </w:tc>
        <w:tc>
          <w:tcPr>
            <w:tcW w:type="dxa" w:w="3456"/>
          </w:tcPr>
          <w:p>
            <w:pPr>
              <w:spacing w:before="40" w:after="40"/>
            </w:pPr>
            <w:r/>
            <w:r>
              <w:rPr>
                <w:rFonts w:ascii="Calibri" w:hAnsi="Calibri"/>
                <w:b w:val="0"/>
                <w:color w:val="23303B"/>
                <w:sz w:val="19"/>
              </w:rPr>
              <w:t>Sólo confirmar las reglas de operación — sección 6</w:t>
            </w:r>
          </w:p>
        </w:tc>
      </w:tr>
    </w:tbl>
    <w:p>
      <w:pPr>
        <w:spacing w:after="40"/>
      </w:pPr>
    </w:p>
    <w:p>
      <w:pPr>
        <w:spacing w:after="120"/>
      </w:pPr>
      <w:r>
        <w:rPr>
          <w:rFonts w:ascii="Calibri" w:hAnsi="Calibri"/>
          <w:i w:val="0"/>
          <w:color w:val="23303B"/>
          <w:sz w:val="21"/>
        </w:rPr>
        <w:t>Odoo estándar trae los formatos SEPA (Europa), NACHA (Estados Unidos) e ISO 20022. No trae ningún formato de banco chileno. En Chile cada banco define su propio archivo de nómina y ese diseño no es público: se entrega al cliente junto con el convenio de pago que firma con el banco. Por eso lo pedimos: no es información que podamos obtener por nuestra cuenta.</w:t>
      </w:r>
    </w:p>
    <w:p>
      <w:pPr>
        <w:spacing w:after="120"/>
      </w:pPr>
      <w:r>
        <w:rPr>
          <w:rFonts w:ascii="Calibri" w:hAnsi="Calibri"/>
          <w:i w:val="0"/>
          <w:color w:val="23303B"/>
          <w:sz w:val="21"/>
        </w:rPr>
        <w:t>Mientras no exista esa especificación aprobada, el sistema entrega sólo un archivo de revisión interna, marcado «NO CARGABLE AL BANCO», para control humano. Preferimos eso antes que ofrecer un archivo inventado: una nómina mal formada puede ser rechazada por el banco o, peor, aceptada con datos que no correspondían.</w:t>
      </w:r>
    </w:p>
    <w:p>
      <w:pPr>
        <w:keepNext/>
        <w:spacing w:before="220" w:after="80"/>
      </w:pPr>
      <w:r>
        <w:rPr>
          <w:rFonts w:ascii="Calibri" w:hAnsi="Calibri"/>
          <w:b/>
          <w:color w:val="1F3A5F"/>
          <w:sz w:val="28"/>
        </w:rPr>
        <w:t>2. Qué ya puede hacer el sistema hoy</w:t>
      </w:r>
    </w:p>
    <w:p>
      <w:pPr>
        <w:pStyle w:val="ListBullet"/>
        <w:spacing w:after="60"/>
      </w:pPr>
      <w:r>
        <w:rPr>
          <w:rFonts w:ascii="Calibri" w:hAnsi="Calibri"/>
          <w:color w:val="23303B"/>
          <w:sz w:val="21"/>
        </w:rPr>
        <w:t>Agrupar pagos de proveedores o de clientes en un lote (funcionalidad estándar de Odoo).</w:t>
      </w:r>
    </w:p>
    <w:p>
      <w:pPr>
        <w:pStyle w:val="ListBullet"/>
        <w:spacing w:after="60"/>
      </w:pPr>
      <w:r>
        <w:rPr>
          <w:rFonts w:ascii="Calibri" w:hAnsi="Calibri"/>
          <w:color w:val="23303B"/>
          <w:sz w:val="21"/>
        </w:rPr>
        <w:t>Generar el lote desde la Planificación / Flujo de caja: el proceso propone los egresos vencidos y los de la semana 1 del horizonte, permite marcar y desmarcar qué documentos se pagan, crea un pago por factura y los agrupa en un único lote saliente.</w:t>
      </w:r>
    </w:p>
    <w:p>
      <w:pPr>
        <w:pStyle w:val="ListBullet"/>
        <w:spacing w:after="60"/>
      </w:pPr>
      <w:r>
        <w:rPr>
          <w:rFonts w:ascii="Calibri" w:hAnsi="Calibri"/>
          <w:color w:val="23303B"/>
          <w:sz w:val="21"/>
        </w:rPr>
        <w:t>Dejar anotado en cada línea del flujo el lote y el pago que la cubrieron, de modo que un mismo documento no se pague dos veces.</w:t>
      </w:r>
    </w:p>
    <w:p>
      <w:pPr>
        <w:pStyle w:val="ListBullet"/>
        <w:spacing w:after="60"/>
      </w:pPr>
      <w:r>
        <w:rPr>
          <w:rFonts w:ascii="Calibri" w:hAnsi="Calibri"/>
          <w:color w:val="23303B"/>
          <w:sz w:val="21"/>
        </w:rPr>
        <w:t>Conciliar el lote contra el movimiento único que aparece en el extracto bancario.</w:t>
      </w:r>
    </w:p>
    <w:p>
      <w:pPr>
        <w:pStyle w:val="ListBullet"/>
        <w:spacing w:after="60"/>
      </w:pPr>
      <w:r>
        <w:rPr>
          <w:rFonts w:ascii="Calibri" w:hAnsi="Calibri"/>
          <w:color w:val="23303B"/>
          <w:sz w:val="21"/>
        </w:rPr>
        <w:t>Descargar un CSV de revisión interna del lote, que no es un archivo bancario y así está rotulado.</w:t>
      </w:r>
    </w:p>
    <w:p>
      <w:pPr>
        <w:keepNext/>
        <w:spacing w:before="220" w:after="80"/>
      </w:pPr>
      <w:r>
        <w:rPr>
          <w:rFonts w:ascii="Calibri" w:hAnsi="Calibri"/>
          <w:b/>
          <w:color w:val="1F3A5F"/>
          <w:sz w:val="28"/>
        </w:rPr>
        <w:t>3. Especificación del archivo por banco</w:t>
      </w:r>
    </w:p>
    <w:p>
      <w:pPr>
        <w:spacing w:after="120"/>
      </w:pPr>
      <w:r>
        <w:rPr>
          <w:rFonts w:ascii="Calibri" w:hAnsi="Calibri"/>
          <w:i w:val="0"/>
          <w:color w:val="23303B"/>
          <w:sz w:val="21"/>
        </w:rPr>
        <w:t>Primero, díganos con qué bancos paga la empresa hoy y cuáles quedan dentro del alcance.</w:t>
      </w:r>
    </w:p>
    <w:tbl>
      <w:tblPr>
        <w:tblW w:type="auto" w:w="0"/>
        <w:tblLayout w:type="fixed"/>
        <w:tblLook w:firstColumn="1" w:firstRow="1" w:lastColumn="0" w:lastRow="0" w:noHBand="0" w:noVBand="1" w:val="04A0"/>
        <w:tblBorders>
          <w:top w:val="single" w:sz="6" w:space="0" w:color="D3DBE3"/>
          <w:left w:val="single" w:sz="6" w:space="0" w:color="D3DBE3"/>
          <w:bottom w:val="single" w:sz="6" w:space="0" w:color="D3DBE3"/>
          <w:right w:val="single" w:sz="6" w:space="0" w:color="D3DBE3"/>
          <w:insideH w:val="single" w:sz="6" w:space="0" w:color="D3DBE3"/>
          <w:insideV w:val="single" w:sz="6" w:space="0" w:color="D3DBE3"/>
        </w:tblBorders>
      </w:tblPr>
      <w:tblGrid>
        <w:gridCol w:w="2448"/>
        <w:gridCol w:w="2448"/>
        <w:gridCol w:w="2448"/>
        <w:gridCol w:w="2448"/>
      </w:tblGrid>
      <w:tr>
        <w:tc>
          <w:tcPr>
            <w:tcW w:type="dxa" w:w="2160"/>
            <w:shd w:val="clear" w:color="auto" w:fill="1F3A5F"/>
          </w:tcPr>
          <w:p>
            <w:pPr>
              <w:spacing w:before="40" w:after="40"/>
            </w:pPr>
            <w:r/>
            <w:r>
              <w:rPr>
                <w:rFonts w:ascii="Calibri" w:hAnsi="Calibri"/>
                <w:b/>
                <w:color w:val="FFFFFF"/>
                <w:sz w:val="19"/>
              </w:rPr>
              <w:t>Banco</w:t>
            </w:r>
          </w:p>
        </w:tc>
        <w:tc>
          <w:tcPr>
            <w:tcW w:type="dxa" w:w="2304"/>
            <w:shd w:val="clear" w:color="auto" w:fill="1F3A5F"/>
          </w:tcPr>
          <w:p>
            <w:pPr>
              <w:spacing w:before="40" w:after="40"/>
            </w:pPr>
            <w:r/>
            <w:r>
              <w:rPr>
                <w:rFonts w:ascii="Calibri" w:hAnsi="Calibri"/>
                <w:b/>
                <w:color w:val="FFFFFF"/>
                <w:sz w:val="19"/>
              </w:rPr>
              <w:t>¿Se paga con este banco?</w:t>
            </w:r>
          </w:p>
        </w:tc>
        <w:tc>
          <w:tcPr>
            <w:tcW w:type="dxa" w:w="2592"/>
            <w:shd w:val="clear" w:color="auto" w:fill="1F3A5F"/>
          </w:tcPr>
          <w:p>
            <w:pPr>
              <w:spacing w:before="40" w:after="40"/>
            </w:pPr>
            <w:r/>
            <w:r>
              <w:rPr>
                <w:rFonts w:ascii="Calibri" w:hAnsi="Calibri"/>
                <w:b/>
                <w:color w:val="FFFFFF"/>
                <w:sz w:val="19"/>
              </w:rPr>
              <w:t>¿Convenio de nómina firmado?</w:t>
            </w:r>
          </w:p>
        </w:tc>
        <w:tc>
          <w:tcPr>
            <w:tcW w:type="dxa" w:w="2736"/>
            <w:shd w:val="clear" w:color="auto" w:fill="1F3A5F"/>
          </w:tcPr>
          <w:p>
            <w:pPr>
              <w:spacing w:before="40" w:after="40"/>
            </w:pPr>
            <w:r/>
            <w:r>
              <w:rPr>
                <w:rFonts w:ascii="Calibri" w:hAnsi="Calibri"/>
                <w:b/>
                <w:color w:val="FFFFFF"/>
                <w:sz w:val="19"/>
              </w:rPr>
              <w:t>¿Adjunta manual y archivo de ejemplo?</w:t>
            </w:r>
          </w:p>
        </w:tc>
      </w:tr>
      <w:tr>
        <w:tc>
          <w:tcPr>
            <w:tcW w:type="dxa" w:w="2160"/>
            <w:shd w:val="clear" w:color="auto" w:fill="F5F7F9"/>
          </w:tcPr>
          <w:p>
            <w:pPr>
              <w:spacing w:before="40" w:after="40"/>
            </w:pPr>
            <w:r/>
            <w:r>
              <w:rPr>
                <w:rFonts w:ascii="Calibri" w:hAnsi="Calibri"/>
                <w:b/>
                <w:color w:val="23303B"/>
                <w:sz w:val="19"/>
              </w:rPr>
              <w:t>Banco Estado</w:t>
            </w:r>
          </w:p>
        </w:tc>
        <w:tc>
          <w:tcPr>
            <w:tcW w:type="dxa" w:w="2304"/>
            <w:shd w:val="clear" w:color="auto" w:fill="FFFDF3"/>
          </w:tcPr>
          <w:p>
            <w:pPr>
              <w:spacing w:before="40" w:after="40"/>
            </w:pPr>
            <w:r/>
            <w:r>
              <w:rPr>
                <w:rFonts w:ascii="Calibri" w:hAnsi="Calibri"/>
                <w:b w:val="0"/>
                <w:color w:val="23303B"/>
                <w:sz w:val="19"/>
              </w:rPr>
            </w:r>
          </w:p>
        </w:tc>
        <w:tc>
          <w:tcPr>
            <w:tcW w:type="dxa" w:w="2592"/>
            <w:shd w:val="clear" w:color="auto" w:fill="FFFDF3"/>
          </w:tcPr>
          <w:p>
            <w:pPr>
              <w:spacing w:before="40" w:after="40"/>
            </w:pPr>
            <w:r/>
            <w:r>
              <w:rPr>
                <w:rFonts w:ascii="Calibri" w:hAnsi="Calibri"/>
                <w:b w:val="0"/>
                <w:color w:val="23303B"/>
                <w:sz w:val="19"/>
              </w:rPr>
            </w:r>
          </w:p>
        </w:tc>
        <w:tc>
          <w:tcPr>
            <w:tcW w:type="dxa" w:w="2736"/>
            <w:shd w:val="clear" w:color="auto" w:fill="FFFDF3"/>
          </w:tcPr>
          <w:p>
            <w:pPr>
              <w:spacing w:before="40" w:after="40"/>
            </w:pPr>
            <w:r/>
            <w:r>
              <w:rPr>
                <w:rFonts w:ascii="Calibri" w:hAnsi="Calibri"/>
                <w:b w:val="0"/>
                <w:color w:val="23303B"/>
                <w:sz w:val="19"/>
              </w:rPr>
            </w:r>
          </w:p>
        </w:tc>
      </w:tr>
      <w:tr>
        <w:tc>
          <w:tcPr>
            <w:tcW w:type="dxa" w:w="2160"/>
            <w:shd w:val="clear" w:color="auto" w:fill="F5F7F9"/>
          </w:tcPr>
          <w:p>
            <w:pPr>
              <w:spacing w:before="40" w:after="40"/>
            </w:pPr>
            <w:r/>
            <w:r>
              <w:rPr>
                <w:rFonts w:ascii="Calibri" w:hAnsi="Calibri"/>
                <w:b/>
                <w:color w:val="23303B"/>
                <w:sz w:val="19"/>
              </w:rPr>
              <w:t>Banco de Chile</w:t>
            </w:r>
          </w:p>
        </w:tc>
        <w:tc>
          <w:tcPr>
            <w:tcW w:type="dxa" w:w="2304"/>
            <w:shd w:val="clear" w:color="auto" w:fill="FFFDF3"/>
          </w:tcPr>
          <w:p>
            <w:pPr>
              <w:spacing w:before="40" w:after="40"/>
            </w:pPr>
            <w:r/>
            <w:r>
              <w:rPr>
                <w:rFonts w:ascii="Calibri" w:hAnsi="Calibri"/>
                <w:b w:val="0"/>
                <w:color w:val="23303B"/>
                <w:sz w:val="19"/>
              </w:rPr>
            </w:r>
          </w:p>
        </w:tc>
        <w:tc>
          <w:tcPr>
            <w:tcW w:type="dxa" w:w="2592"/>
            <w:shd w:val="clear" w:color="auto" w:fill="FFFDF3"/>
          </w:tcPr>
          <w:p>
            <w:pPr>
              <w:spacing w:before="40" w:after="40"/>
            </w:pPr>
            <w:r/>
            <w:r>
              <w:rPr>
                <w:rFonts w:ascii="Calibri" w:hAnsi="Calibri"/>
                <w:b w:val="0"/>
                <w:color w:val="23303B"/>
                <w:sz w:val="19"/>
              </w:rPr>
            </w:r>
          </w:p>
        </w:tc>
        <w:tc>
          <w:tcPr>
            <w:tcW w:type="dxa" w:w="2736"/>
            <w:shd w:val="clear" w:color="auto" w:fill="FFFDF3"/>
          </w:tcPr>
          <w:p>
            <w:pPr>
              <w:spacing w:before="40" w:after="40"/>
            </w:pPr>
            <w:r/>
            <w:r>
              <w:rPr>
                <w:rFonts w:ascii="Calibri" w:hAnsi="Calibri"/>
                <w:b w:val="0"/>
                <w:color w:val="23303B"/>
                <w:sz w:val="19"/>
              </w:rPr>
            </w:r>
          </w:p>
        </w:tc>
      </w:tr>
      <w:tr>
        <w:tc>
          <w:tcPr>
            <w:tcW w:type="dxa" w:w="2160"/>
            <w:shd w:val="clear" w:color="auto" w:fill="F5F7F9"/>
          </w:tcPr>
          <w:p>
            <w:pPr>
              <w:spacing w:before="40" w:after="40"/>
            </w:pPr>
            <w:r/>
            <w:r>
              <w:rPr>
                <w:rFonts w:ascii="Calibri" w:hAnsi="Calibri"/>
                <w:b/>
                <w:color w:val="23303B"/>
                <w:sz w:val="19"/>
              </w:rPr>
              <w:t>Banco Santander</w:t>
            </w:r>
          </w:p>
        </w:tc>
        <w:tc>
          <w:tcPr>
            <w:tcW w:type="dxa" w:w="2304"/>
            <w:shd w:val="clear" w:color="auto" w:fill="FFFDF3"/>
          </w:tcPr>
          <w:p>
            <w:pPr>
              <w:spacing w:before="40" w:after="40"/>
            </w:pPr>
            <w:r/>
            <w:r>
              <w:rPr>
                <w:rFonts w:ascii="Calibri" w:hAnsi="Calibri"/>
                <w:b w:val="0"/>
                <w:color w:val="23303B"/>
                <w:sz w:val="19"/>
              </w:rPr>
            </w:r>
          </w:p>
        </w:tc>
        <w:tc>
          <w:tcPr>
            <w:tcW w:type="dxa" w:w="2592"/>
            <w:shd w:val="clear" w:color="auto" w:fill="FFFDF3"/>
          </w:tcPr>
          <w:p>
            <w:pPr>
              <w:spacing w:before="40" w:after="40"/>
            </w:pPr>
            <w:r/>
            <w:r>
              <w:rPr>
                <w:rFonts w:ascii="Calibri" w:hAnsi="Calibri"/>
                <w:b w:val="0"/>
                <w:color w:val="23303B"/>
                <w:sz w:val="19"/>
              </w:rPr>
            </w:r>
          </w:p>
        </w:tc>
        <w:tc>
          <w:tcPr>
            <w:tcW w:type="dxa" w:w="2736"/>
            <w:shd w:val="clear" w:color="auto" w:fill="FFFDF3"/>
          </w:tcPr>
          <w:p>
            <w:pPr>
              <w:spacing w:before="40" w:after="40"/>
            </w:pPr>
            <w:r/>
            <w:r>
              <w:rPr>
                <w:rFonts w:ascii="Calibri" w:hAnsi="Calibri"/>
                <w:b w:val="0"/>
                <w:color w:val="23303B"/>
                <w:sz w:val="19"/>
              </w:rPr>
            </w:r>
          </w:p>
        </w:tc>
      </w:tr>
      <w:tr>
        <w:tc>
          <w:tcPr>
            <w:tcW w:type="dxa" w:w="2160"/>
            <w:shd w:val="clear" w:color="auto" w:fill="F5F7F9"/>
          </w:tcPr>
          <w:p>
            <w:pPr>
              <w:spacing w:before="40" w:after="40"/>
            </w:pPr>
            <w:r/>
            <w:r>
              <w:rPr>
                <w:rFonts w:ascii="Calibri" w:hAnsi="Calibri"/>
                <w:b/>
                <w:color w:val="23303B"/>
                <w:sz w:val="19"/>
              </w:rPr>
              <w:t>Banco Itaú</w:t>
            </w:r>
          </w:p>
        </w:tc>
        <w:tc>
          <w:tcPr>
            <w:tcW w:type="dxa" w:w="2304"/>
            <w:shd w:val="clear" w:color="auto" w:fill="FFFDF3"/>
          </w:tcPr>
          <w:p>
            <w:pPr>
              <w:spacing w:before="40" w:after="40"/>
            </w:pPr>
            <w:r/>
            <w:r>
              <w:rPr>
                <w:rFonts w:ascii="Calibri" w:hAnsi="Calibri"/>
                <w:b w:val="0"/>
                <w:color w:val="23303B"/>
                <w:sz w:val="19"/>
              </w:rPr>
            </w:r>
          </w:p>
        </w:tc>
        <w:tc>
          <w:tcPr>
            <w:tcW w:type="dxa" w:w="2592"/>
            <w:shd w:val="clear" w:color="auto" w:fill="FFFDF3"/>
          </w:tcPr>
          <w:p>
            <w:pPr>
              <w:spacing w:before="40" w:after="40"/>
            </w:pPr>
            <w:r/>
            <w:r>
              <w:rPr>
                <w:rFonts w:ascii="Calibri" w:hAnsi="Calibri"/>
                <w:b w:val="0"/>
                <w:color w:val="23303B"/>
                <w:sz w:val="19"/>
              </w:rPr>
            </w:r>
          </w:p>
        </w:tc>
        <w:tc>
          <w:tcPr>
            <w:tcW w:type="dxa" w:w="2736"/>
            <w:shd w:val="clear" w:color="auto" w:fill="FFFDF3"/>
          </w:tcPr>
          <w:p>
            <w:pPr>
              <w:spacing w:before="40" w:after="40"/>
            </w:pPr>
            <w:r/>
            <w:r>
              <w:rPr>
                <w:rFonts w:ascii="Calibri" w:hAnsi="Calibri"/>
                <w:b w:val="0"/>
                <w:color w:val="23303B"/>
                <w:sz w:val="19"/>
              </w:rPr>
            </w:r>
          </w:p>
        </w:tc>
      </w:tr>
      <w:tr>
        <w:tc>
          <w:tcPr>
            <w:tcW w:type="dxa" w:w="2160"/>
            <w:shd w:val="clear" w:color="auto" w:fill="F5F7F9"/>
          </w:tcPr>
          <w:p>
            <w:pPr>
              <w:spacing w:before="40" w:after="40"/>
            </w:pPr>
            <w:r/>
            <w:r>
              <w:rPr>
                <w:rFonts w:ascii="Calibri" w:hAnsi="Calibri"/>
                <w:b/>
                <w:color w:val="23303B"/>
                <w:sz w:val="19"/>
              </w:rPr>
              <w:t>Banco Scotiabank</w:t>
            </w:r>
          </w:p>
        </w:tc>
        <w:tc>
          <w:tcPr>
            <w:tcW w:type="dxa" w:w="2304"/>
            <w:shd w:val="clear" w:color="auto" w:fill="FFFDF3"/>
          </w:tcPr>
          <w:p>
            <w:pPr>
              <w:spacing w:before="40" w:after="40"/>
            </w:pPr>
            <w:r/>
            <w:r>
              <w:rPr>
                <w:rFonts w:ascii="Calibri" w:hAnsi="Calibri"/>
                <w:b w:val="0"/>
                <w:color w:val="23303B"/>
                <w:sz w:val="19"/>
              </w:rPr>
            </w:r>
          </w:p>
        </w:tc>
        <w:tc>
          <w:tcPr>
            <w:tcW w:type="dxa" w:w="2592"/>
            <w:shd w:val="clear" w:color="auto" w:fill="FFFDF3"/>
          </w:tcPr>
          <w:p>
            <w:pPr>
              <w:spacing w:before="40" w:after="40"/>
            </w:pPr>
            <w:r/>
            <w:r>
              <w:rPr>
                <w:rFonts w:ascii="Calibri" w:hAnsi="Calibri"/>
                <w:b w:val="0"/>
                <w:color w:val="23303B"/>
                <w:sz w:val="19"/>
              </w:rPr>
            </w:r>
          </w:p>
        </w:tc>
        <w:tc>
          <w:tcPr>
            <w:tcW w:type="dxa" w:w="2736"/>
            <w:shd w:val="clear" w:color="auto" w:fill="FFFDF3"/>
          </w:tcPr>
          <w:p>
            <w:pPr>
              <w:spacing w:before="40" w:after="40"/>
            </w:pPr>
            <w:r/>
            <w:r>
              <w:rPr>
                <w:rFonts w:ascii="Calibri" w:hAnsi="Calibri"/>
                <w:b w:val="0"/>
                <w:color w:val="23303B"/>
                <w:sz w:val="19"/>
              </w:rPr>
            </w:r>
          </w:p>
        </w:tc>
      </w:tr>
      <w:tr>
        <w:tc>
          <w:tcPr>
            <w:tcW w:type="dxa" w:w="2160"/>
            <w:shd w:val="clear" w:color="auto" w:fill="F5F7F9"/>
          </w:tcPr>
          <w:p>
            <w:pPr>
              <w:spacing w:before="40" w:after="40"/>
            </w:pPr>
            <w:r/>
            <w:r>
              <w:rPr>
                <w:rFonts w:ascii="Calibri" w:hAnsi="Calibri"/>
                <w:b/>
                <w:color w:val="23303B"/>
                <w:sz w:val="19"/>
              </w:rPr>
              <w:t>Banco BICE</w:t>
            </w:r>
          </w:p>
        </w:tc>
        <w:tc>
          <w:tcPr>
            <w:tcW w:type="dxa" w:w="2304"/>
            <w:shd w:val="clear" w:color="auto" w:fill="FFFDF3"/>
          </w:tcPr>
          <w:p>
            <w:pPr>
              <w:spacing w:before="40" w:after="40"/>
            </w:pPr>
            <w:r/>
            <w:r>
              <w:rPr>
                <w:rFonts w:ascii="Calibri" w:hAnsi="Calibri"/>
                <w:b w:val="0"/>
                <w:color w:val="23303B"/>
                <w:sz w:val="19"/>
              </w:rPr>
            </w:r>
          </w:p>
        </w:tc>
        <w:tc>
          <w:tcPr>
            <w:tcW w:type="dxa" w:w="2592"/>
            <w:shd w:val="clear" w:color="auto" w:fill="FFFDF3"/>
          </w:tcPr>
          <w:p>
            <w:pPr>
              <w:spacing w:before="40" w:after="40"/>
            </w:pPr>
            <w:r/>
            <w:r>
              <w:rPr>
                <w:rFonts w:ascii="Calibri" w:hAnsi="Calibri"/>
                <w:b w:val="0"/>
                <w:color w:val="23303B"/>
                <w:sz w:val="19"/>
              </w:rPr>
            </w:r>
          </w:p>
        </w:tc>
        <w:tc>
          <w:tcPr>
            <w:tcW w:type="dxa" w:w="2736"/>
            <w:shd w:val="clear" w:color="auto" w:fill="FFFDF3"/>
          </w:tcPr>
          <w:p>
            <w:pPr>
              <w:spacing w:before="40" w:after="40"/>
            </w:pPr>
            <w:r/>
            <w:r>
              <w:rPr>
                <w:rFonts w:ascii="Calibri" w:hAnsi="Calibri"/>
                <w:b w:val="0"/>
                <w:color w:val="23303B"/>
                <w:sz w:val="19"/>
              </w:rPr>
            </w:r>
          </w:p>
        </w:tc>
      </w:tr>
      <w:tr>
        <w:tc>
          <w:tcPr>
            <w:tcW w:type="dxa" w:w="2160"/>
            <w:shd w:val="clear" w:color="auto" w:fill="F5F7F9"/>
          </w:tcPr>
          <w:p>
            <w:pPr>
              <w:spacing w:before="40" w:after="40"/>
            </w:pPr>
            <w:r/>
            <w:r>
              <w:rPr>
                <w:rFonts w:ascii="Calibri" w:hAnsi="Calibri"/>
                <w:b/>
                <w:color w:val="23303B"/>
                <w:sz w:val="19"/>
              </w:rPr>
              <w:t>Otro (indique cuál)</w:t>
            </w:r>
          </w:p>
        </w:tc>
        <w:tc>
          <w:tcPr>
            <w:tcW w:type="dxa" w:w="2304"/>
            <w:shd w:val="clear" w:color="auto" w:fill="FFFDF3"/>
          </w:tcPr>
          <w:p>
            <w:pPr>
              <w:spacing w:before="40" w:after="40"/>
            </w:pPr>
            <w:r/>
            <w:r>
              <w:rPr>
                <w:rFonts w:ascii="Calibri" w:hAnsi="Calibri"/>
                <w:b w:val="0"/>
                <w:color w:val="23303B"/>
                <w:sz w:val="19"/>
              </w:rPr>
            </w:r>
          </w:p>
        </w:tc>
        <w:tc>
          <w:tcPr>
            <w:tcW w:type="dxa" w:w="2592"/>
            <w:shd w:val="clear" w:color="auto" w:fill="FFFDF3"/>
          </w:tcPr>
          <w:p>
            <w:pPr>
              <w:spacing w:before="40" w:after="40"/>
            </w:pPr>
            <w:r/>
            <w:r>
              <w:rPr>
                <w:rFonts w:ascii="Calibri" w:hAnsi="Calibri"/>
                <w:b w:val="0"/>
                <w:color w:val="23303B"/>
                <w:sz w:val="19"/>
              </w:rPr>
            </w:r>
          </w:p>
        </w:tc>
        <w:tc>
          <w:tcPr>
            <w:tcW w:type="dxa" w:w="2736"/>
            <w:shd w:val="clear" w:color="auto" w:fill="FFFDF3"/>
          </w:tcPr>
          <w:p>
            <w:pPr>
              <w:spacing w:before="40" w:after="40"/>
            </w:pPr>
            <w:r/>
            <w:r>
              <w:rPr>
                <w:rFonts w:ascii="Calibri" w:hAnsi="Calibri"/>
                <w:b w:val="0"/>
                <w:color w:val="23303B"/>
                <w:sz w:val="19"/>
              </w:rPr>
            </w:r>
          </w:p>
        </w:tc>
      </w:tr>
    </w:tbl>
    <w:p>
      <w:pPr>
        <w:spacing w:after="40"/>
      </w:pPr>
    </w:p>
    <w:p>
      <w:pPr>
        <w:keepNext/>
        <w:spacing w:before="160" w:after="80"/>
      </w:pPr>
      <w:r>
        <w:rPr>
          <w:rFonts w:ascii="Calibri" w:hAnsi="Calibri"/>
          <w:b/>
          <w:color w:val="3C9BDD"/>
          <w:sz w:val="23"/>
        </w:rPr>
        <w:t>3.1 Ficha de formato — copie esta ficha por cada banco</w:t>
      </w:r>
    </w:p>
    <w:p>
      <w:pPr>
        <w:spacing w:after="120"/>
      </w:pPr>
      <w:r>
        <w:rPr>
          <w:rFonts w:ascii="Calibri" w:hAnsi="Calibri"/>
          <w:i/>
          <w:color w:val="5A6570"/>
          <w:sz w:val="20"/>
        </w:rPr>
        <w:t>Si un banco tiene más de un convenio o producto (por ejemplo, pago a proveedores y pago de remuneraciones), complete una ficha por cada uno.</w:t>
      </w:r>
    </w:p>
    <w:tbl>
      <w:tblPr>
        <w:tblW w:type="auto" w:w="0"/>
        <w:tblLayout w:type="fixed"/>
        <w:tblLook w:firstColumn="1" w:firstRow="1" w:lastColumn="0" w:lastRow="0" w:noHBand="0" w:noVBand="1" w:val="04A0"/>
        <w:tblBorders>
          <w:top w:val="single" w:sz="6" w:space="0" w:color="D3DBE3"/>
          <w:left w:val="single" w:sz="6" w:space="0" w:color="D3DBE3"/>
          <w:bottom w:val="single" w:sz="6" w:space="0" w:color="D3DBE3"/>
          <w:right w:val="single" w:sz="6" w:space="0" w:color="D3DBE3"/>
          <w:insideH w:val="single" w:sz="6" w:space="0" w:color="D3DBE3"/>
          <w:insideV w:val="single" w:sz="6" w:space="0" w:color="D3DBE3"/>
        </w:tblBorders>
      </w:tblPr>
      <w:tblGrid>
        <w:gridCol w:w="4896"/>
        <w:gridCol w:w="4896"/>
      </w:tblGrid>
      <w:tr>
        <w:tc>
          <w:tcPr>
            <w:tcW w:type="dxa" w:w="6192"/>
            <w:shd w:val="clear" w:color="auto" w:fill="1F3A5F"/>
          </w:tcPr>
          <w:p>
            <w:pPr>
              <w:spacing w:before="40" w:after="40"/>
            </w:pPr>
            <w:r/>
            <w:r>
              <w:rPr>
                <w:rFonts w:ascii="Calibri" w:hAnsi="Calibri"/>
                <w:b/>
                <w:color w:val="FFFFFF"/>
                <w:sz w:val="19"/>
              </w:rPr>
              <w:t>Dato o pregunta</w:t>
            </w:r>
          </w:p>
        </w:tc>
        <w:tc>
          <w:tcPr>
            <w:tcW w:type="dxa" w:w="3456"/>
            <w:shd w:val="clear" w:color="auto" w:fill="1F3A5F"/>
          </w:tcPr>
          <w:p>
            <w:pPr>
              <w:spacing w:before="40" w:after="40"/>
            </w:pPr>
            <w:r/>
            <w:r>
              <w:rPr>
                <w:rFonts w:ascii="Calibri" w:hAnsi="Calibri"/>
                <w:b/>
                <w:color w:val="FFFFFF"/>
                <w:sz w:val="19"/>
              </w:rPr>
              <w:t>Respuesta</w:t>
            </w:r>
          </w:p>
        </w:tc>
      </w:tr>
      <w:tr>
        <w:tc>
          <w:tcPr>
            <w:tcW w:type="dxa" w:w="6192"/>
            <w:shd w:val="clear" w:color="auto" w:fill="F5F7F9"/>
          </w:tcPr>
          <w:p>
            <w:pPr>
              <w:spacing w:before="40" w:after="40"/>
            </w:pPr>
            <w:r/>
            <w:r>
              <w:rPr>
                <w:rFonts w:ascii="Calibri" w:hAnsi="Calibri"/>
                <w:b/>
                <w:color w:val="23303B"/>
                <w:sz w:val="19"/>
              </w:rPr>
              <w:t>Banco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Nombre del convenio o producto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Versión del formato y fecha de vigencia</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¿Adjunta el manual del banco? (sí / no, nombre del archivo)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¿Adjunta un archivo de ejemplo aprobado? (sí / no, nombre del archivo)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Tipo de archivo (largo fijo, delimitado, Excel, otro)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Si es delimitado: separador de campos</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Codificación (UTF-8, ISO-8859-1, ASCII)</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Fin de línea (Windows CRLF / Unix LF)</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¿Lleva registro de cabecera? ¿Qué contiene?</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¿Lleva registro de tráiler o de totales? ¿Qué contiene?</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Formato del nombre del archivo (escriba un ejemplo real)</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Formato de fecha dentro del archivo (AAAAMMDD, DDMMAAAA, otro)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Formato de montos (¿decimales?, ¿separador?, ¿se envían centavos?)</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Monedas admitidas (¿sólo CLP?, ¿USD?, ¿UF?)</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Máximo de registros por archivo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Máximo de monto por registro y por archivo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Cómo identifica el banco a la empresa (RUT, número de convenio, código de cliente)</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Cómo se carga el archivo (portal web, host to host, SFTP, otro)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Horario de corte para que el pago se curse el mismo día</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¿El banco devuelve archivo de respuesta o de rechazos? ¿En qué formato?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Contacto del ejecutivo del banco (nombre, correo, teléfono)</w:t>
            </w:r>
          </w:p>
        </w:tc>
        <w:tc>
          <w:tcPr>
            <w:tcW w:type="dxa" w:w="3456"/>
            <w:shd w:val="clear" w:color="auto" w:fill="FFFDF3"/>
          </w:tcPr>
          <w:p>
            <w:pPr>
              <w:spacing w:before="40" w:after="40"/>
            </w:pPr>
            <w:r/>
            <w:r>
              <w:rPr>
                <w:rFonts w:ascii="Calibri" w:hAnsi="Calibri"/>
                <w:b w:val="0"/>
                <w:color w:val="23303B"/>
                <w:sz w:val="19"/>
              </w:rPr>
            </w:r>
          </w:p>
        </w:tc>
      </w:tr>
    </w:tbl>
    <w:p>
      <w:pPr>
        <w:spacing w:after="40"/>
      </w:pPr>
    </w:p>
    <w:p>
      <w:pPr>
        <w:keepNext/>
        <w:spacing w:before="160" w:after="80"/>
      </w:pPr>
      <w:r>
        <w:rPr>
          <w:rFonts w:ascii="Calibri" w:hAnsi="Calibri"/>
          <w:b/>
          <w:color w:val="3C9BDD"/>
          <w:sz w:val="23"/>
        </w:rPr>
        <w:t>3.2 Campos de cada línea de pago</w:t>
      </w:r>
    </w:p>
    <w:p>
      <w:pPr>
        <w:spacing w:after="120"/>
      </w:pPr>
      <w:r>
        <w:rPr>
          <w:rFonts w:ascii="Calibri" w:hAnsi="Calibri"/>
          <w:i/>
          <w:color w:val="5A6570"/>
          <w:sz w:val="20"/>
        </w:rPr>
        <w:t>Enumere los campos que exige el banco por cada beneficiario, en el orden en que van en el archivo. Si nos envía el manual del convenio, esta tabla la completamos nosotros y ustedes sólo la revisan.</w:t>
      </w:r>
    </w:p>
    <w:tbl>
      <w:tblPr>
        <w:tblW w:type="auto" w:w="0"/>
        <w:tblLayout w:type="fixed"/>
        <w:tblLook w:firstColumn="1" w:firstRow="1" w:lastColumn="0" w:lastRow="0" w:noHBand="0" w:noVBand="1" w:val="04A0"/>
        <w:tblBorders>
          <w:top w:val="single" w:sz="6" w:space="0" w:color="D3DBE3"/>
          <w:left w:val="single" w:sz="6" w:space="0" w:color="D3DBE3"/>
          <w:bottom w:val="single" w:sz="6" w:space="0" w:color="D3DBE3"/>
          <w:right w:val="single" w:sz="6" w:space="0" w:color="D3DBE3"/>
          <w:insideH w:val="single" w:sz="6" w:space="0" w:color="D3DBE3"/>
          <w:insideV w:val="single" w:sz="6" w:space="0" w:color="D3DBE3"/>
        </w:tblBorders>
      </w:tblPr>
      <w:tblGrid>
        <w:gridCol w:w="1399"/>
        <w:gridCol w:w="1399"/>
        <w:gridCol w:w="1399"/>
        <w:gridCol w:w="1399"/>
        <w:gridCol w:w="1399"/>
        <w:gridCol w:w="1399"/>
        <w:gridCol w:w="1399"/>
      </w:tblGrid>
      <w:tr>
        <w:tc>
          <w:tcPr>
            <w:tcW w:type="dxa" w:w="432"/>
            <w:shd w:val="clear" w:color="auto" w:fill="1F3A5F"/>
          </w:tcPr>
          <w:p>
            <w:pPr>
              <w:spacing w:before="40" w:after="40"/>
            </w:pPr>
            <w:r/>
            <w:r>
              <w:rPr>
                <w:rFonts w:ascii="Calibri" w:hAnsi="Calibri"/>
                <w:b/>
                <w:color w:val="FFFFFF"/>
                <w:sz w:val="19"/>
              </w:rPr>
              <w:t>#</w:t>
            </w:r>
          </w:p>
        </w:tc>
        <w:tc>
          <w:tcPr>
            <w:tcW w:type="dxa" w:w="2448"/>
            <w:shd w:val="clear" w:color="auto" w:fill="1F3A5F"/>
          </w:tcPr>
          <w:p>
            <w:pPr>
              <w:spacing w:before="40" w:after="40"/>
            </w:pPr>
            <w:r/>
            <w:r>
              <w:rPr>
                <w:rFonts w:ascii="Calibri" w:hAnsi="Calibri"/>
                <w:b/>
                <w:color w:val="FFFFFF"/>
                <w:sz w:val="19"/>
              </w:rPr>
              <w:t>Campo</w:t>
            </w:r>
          </w:p>
        </w:tc>
        <w:tc>
          <w:tcPr>
            <w:tcW w:type="dxa" w:w="1584"/>
            <w:shd w:val="clear" w:color="auto" w:fill="1F3A5F"/>
          </w:tcPr>
          <w:p>
            <w:pPr>
              <w:spacing w:before="40" w:after="40"/>
            </w:pPr>
            <w:r/>
            <w:r>
              <w:rPr>
                <w:rFonts w:ascii="Calibri" w:hAnsi="Calibri"/>
                <w:b/>
                <w:color w:val="FFFFFF"/>
                <w:sz w:val="19"/>
              </w:rPr>
              <w:t>Posición o columna</w:t>
            </w:r>
          </w:p>
        </w:tc>
        <w:tc>
          <w:tcPr>
            <w:tcW w:type="dxa" w:w="720"/>
            <w:shd w:val="clear" w:color="auto" w:fill="1F3A5F"/>
          </w:tcPr>
          <w:p>
            <w:pPr>
              <w:spacing w:before="40" w:after="40"/>
            </w:pPr>
            <w:r/>
            <w:r>
              <w:rPr>
                <w:rFonts w:ascii="Calibri" w:hAnsi="Calibri"/>
                <w:b/>
                <w:color w:val="FFFFFF"/>
                <w:sz w:val="19"/>
              </w:rPr>
              <w:t>Largo</w:t>
            </w:r>
          </w:p>
        </w:tc>
        <w:tc>
          <w:tcPr>
            <w:tcW w:type="dxa" w:w="864"/>
            <w:shd w:val="clear" w:color="auto" w:fill="1F3A5F"/>
          </w:tcPr>
          <w:p>
            <w:pPr>
              <w:spacing w:before="40" w:after="40"/>
            </w:pPr>
            <w:r/>
            <w:r>
              <w:rPr>
                <w:rFonts w:ascii="Calibri" w:hAnsi="Calibri"/>
                <w:b/>
                <w:color w:val="FFFFFF"/>
                <w:sz w:val="19"/>
              </w:rPr>
              <w:t>Tipo</w:t>
            </w:r>
          </w:p>
        </w:tc>
        <w:tc>
          <w:tcPr>
            <w:tcW w:type="dxa" w:w="720"/>
            <w:shd w:val="clear" w:color="auto" w:fill="1F3A5F"/>
          </w:tcPr>
          <w:p>
            <w:pPr>
              <w:spacing w:before="40" w:after="40"/>
            </w:pPr>
            <w:r/>
            <w:r>
              <w:rPr>
                <w:rFonts w:ascii="Calibri" w:hAnsi="Calibri"/>
                <w:b/>
                <w:color w:val="FFFFFF"/>
                <w:sz w:val="19"/>
              </w:rPr>
              <w:t>Oblig.</w:t>
            </w:r>
          </w:p>
        </w:tc>
        <w:tc>
          <w:tcPr>
            <w:tcW w:type="dxa" w:w="3024"/>
            <w:shd w:val="clear" w:color="auto" w:fill="1F3A5F"/>
          </w:tcPr>
          <w:p>
            <w:pPr>
              <w:spacing w:before="40" w:after="40"/>
            </w:pPr>
            <w:r/>
            <w:r>
              <w:rPr>
                <w:rFonts w:ascii="Calibri" w:hAnsi="Calibri"/>
                <w:b/>
                <w:color w:val="FFFFFF"/>
                <w:sz w:val="19"/>
              </w:rPr>
              <w:t>Regla o valor fijo</w:t>
            </w:r>
          </w:p>
        </w:tc>
      </w:tr>
      <w:tr>
        <w:tc>
          <w:tcPr>
            <w:tcW w:type="dxa" w:w="432"/>
            <w:shd w:val="clear" w:color="auto" w:fill="F5F7F9"/>
          </w:tcPr>
          <w:p>
            <w:pPr>
              <w:spacing w:before="40" w:after="40"/>
            </w:pPr>
            <w:r/>
            <w:r>
              <w:rPr>
                <w:rFonts w:ascii="Calibri" w:hAnsi="Calibri"/>
                <w:b/>
                <w:color w:val="23303B"/>
                <w:sz w:val="19"/>
              </w:rPr>
              <w:t>1</w:t>
            </w:r>
          </w:p>
        </w:tc>
        <w:tc>
          <w:tcPr>
            <w:tcW w:type="dxa" w:w="2448"/>
            <w:shd w:val="clear" w:color="auto" w:fill="FFFDF3"/>
          </w:tcPr>
          <w:p>
            <w:pPr>
              <w:spacing w:before="40" w:after="40"/>
            </w:pPr>
            <w:r/>
            <w:r>
              <w:rPr>
                <w:rFonts w:ascii="Calibri" w:hAnsi="Calibri"/>
                <w:b w:val="0"/>
                <w:color w:val="23303B"/>
                <w:sz w:val="19"/>
              </w:rPr>
            </w:r>
          </w:p>
        </w:tc>
        <w:tc>
          <w:tcPr>
            <w:tcW w:type="dxa" w:w="158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86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3024"/>
            <w:shd w:val="clear" w:color="auto" w:fill="FFFDF3"/>
          </w:tcPr>
          <w:p>
            <w:pPr>
              <w:spacing w:before="40" w:after="40"/>
            </w:pPr>
            <w:r/>
            <w:r>
              <w:rPr>
                <w:rFonts w:ascii="Calibri" w:hAnsi="Calibri"/>
                <w:b w:val="0"/>
                <w:color w:val="23303B"/>
                <w:sz w:val="19"/>
              </w:rPr>
            </w:r>
          </w:p>
        </w:tc>
      </w:tr>
      <w:tr>
        <w:tc>
          <w:tcPr>
            <w:tcW w:type="dxa" w:w="432"/>
            <w:shd w:val="clear" w:color="auto" w:fill="F5F7F9"/>
          </w:tcPr>
          <w:p>
            <w:pPr>
              <w:spacing w:before="40" w:after="40"/>
            </w:pPr>
            <w:r/>
            <w:r>
              <w:rPr>
                <w:rFonts w:ascii="Calibri" w:hAnsi="Calibri"/>
                <w:b/>
                <w:color w:val="23303B"/>
                <w:sz w:val="19"/>
              </w:rPr>
              <w:t>2</w:t>
            </w:r>
          </w:p>
        </w:tc>
        <w:tc>
          <w:tcPr>
            <w:tcW w:type="dxa" w:w="2448"/>
            <w:shd w:val="clear" w:color="auto" w:fill="FFFDF3"/>
          </w:tcPr>
          <w:p>
            <w:pPr>
              <w:spacing w:before="40" w:after="40"/>
            </w:pPr>
            <w:r/>
            <w:r>
              <w:rPr>
                <w:rFonts w:ascii="Calibri" w:hAnsi="Calibri"/>
                <w:b w:val="0"/>
                <w:color w:val="23303B"/>
                <w:sz w:val="19"/>
              </w:rPr>
            </w:r>
          </w:p>
        </w:tc>
        <w:tc>
          <w:tcPr>
            <w:tcW w:type="dxa" w:w="158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86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3024"/>
            <w:shd w:val="clear" w:color="auto" w:fill="FFFDF3"/>
          </w:tcPr>
          <w:p>
            <w:pPr>
              <w:spacing w:before="40" w:after="40"/>
            </w:pPr>
            <w:r/>
            <w:r>
              <w:rPr>
                <w:rFonts w:ascii="Calibri" w:hAnsi="Calibri"/>
                <w:b w:val="0"/>
                <w:color w:val="23303B"/>
                <w:sz w:val="19"/>
              </w:rPr>
            </w:r>
          </w:p>
        </w:tc>
      </w:tr>
      <w:tr>
        <w:tc>
          <w:tcPr>
            <w:tcW w:type="dxa" w:w="432"/>
            <w:shd w:val="clear" w:color="auto" w:fill="F5F7F9"/>
          </w:tcPr>
          <w:p>
            <w:pPr>
              <w:spacing w:before="40" w:after="40"/>
            </w:pPr>
            <w:r/>
            <w:r>
              <w:rPr>
                <w:rFonts w:ascii="Calibri" w:hAnsi="Calibri"/>
                <w:b/>
                <w:color w:val="23303B"/>
                <w:sz w:val="19"/>
              </w:rPr>
              <w:t>3</w:t>
            </w:r>
          </w:p>
        </w:tc>
        <w:tc>
          <w:tcPr>
            <w:tcW w:type="dxa" w:w="2448"/>
            <w:shd w:val="clear" w:color="auto" w:fill="FFFDF3"/>
          </w:tcPr>
          <w:p>
            <w:pPr>
              <w:spacing w:before="40" w:after="40"/>
            </w:pPr>
            <w:r/>
            <w:r>
              <w:rPr>
                <w:rFonts w:ascii="Calibri" w:hAnsi="Calibri"/>
                <w:b w:val="0"/>
                <w:color w:val="23303B"/>
                <w:sz w:val="19"/>
              </w:rPr>
            </w:r>
          </w:p>
        </w:tc>
        <w:tc>
          <w:tcPr>
            <w:tcW w:type="dxa" w:w="158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86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3024"/>
            <w:shd w:val="clear" w:color="auto" w:fill="FFFDF3"/>
          </w:tcPr>
          <w:p>
            <w:pPr>
              <w:spacing w:before="40" w:after="40"/>
            </w:pPr>
            <w:r/>
            <w:r>
              <w:rPr>
                <w:rFonts w:ascii="Calibri" w:hAnsi="Calibri"/>
                <w:b w:val="0"/>
                <w:color w:val="23303B"/>
                <w:sz w:val="19"/>
              </w:rPr>
            </w:r>
          </w:p>
        </w:tc>
      </w:tr>
      <w:tr>
        <w:tc>
          <w:tcPr>
            <w:tcW w:type="dxa" w:w="432"/>
            <w:shd w:val="clear" w:color="auto" w:fill="F5F7F9"/>
          </w:tcPr>
          <w:p>
            <w:pPr>
              <w:spacing w:before="40" w:after="40"/>
            </w:pPr>
            <w:r/>
            <w:r>
              <w:rPr>
                <w:rFonts w:ascii="Calibri" w:hAnsi="Calibri"/>
                <w:b/>
                <w:color w:val="23303B"/>
                <w:sz w:val="19"/>
              </w:rPr>
              <w:t>4</w:t>
            </w:r>
          </w:p>
        </w:tc>
        <w:tc>
          <w:tcPr>
            <w:tcW w:type="dxa" w:w="2448"/>
            <w:shd w:val="clear" w:color="auto" w:fill="FFFDF3"/>
          </w:tcPr>
          <w:p>
            <w:pPr>
              <w:spacing w:before="40" w:after="40"/>
            </w:pPr>
            <w:r/>
            <w:r>
              <w:rPr>
                <w:rFonts w:ascii="Calibri" w:hAnsi="Calibri"/>
                <w:b w:val="0"/>
                <w:color w:val="23303B"/>
                <w:sz w:val="19"/>
              </w:rPr>
            </w:r>
          </w:p>
        </w:tc>
        <w:tc>
          <w:tcPr>
            <w:tcW w:type="dxa" w:w="158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86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3024"/>
            <w:shd w:val="clear" w:color="auto" w:fill="FFFDF3"/>
          </w:tcPr>
          <w:p>
            <w:pPr>
              <w:spacing w:before="40" w:after="40"/>
            </w:pPr>
            <w:r/>
            <w:r>
              <w:rPr>
                <w:rFonts w:ascii="Calibri" w:hAnsi="Calibri"/>
                <w:b w:val="0"/>
                <w:color w:val="23303B"/>
                <w:sz w:val="19"/>
              </w:rPr>
            </w:r>
          </w:p>
        </w:tc>
      </w:tr>
      <w:tr>
        <w:tc>
          <w:tcPr>
            <w:tcW w:type="dxa" w:w="432"/>
            <w:shd w:val="clear" w:color="auto" w:fill="F5F7F9"/>
          </w:tcPr>
          <w:p>
            <w:pPr>
              <w:spacing w:before="40" w:after="40"/>
            </w:pPr>
            <w:r/>
            <w:r>
              <w:rPr>
                <w:rFonts w:ascii="Calibri" w:hAnsi="Calibri"/>
                <w:b/>
                <w:color w:val="23303B"/>
                <w:sz w:val="19"/>
              </w:rPr>
              <w:t>5</w:t>
            </w:r>
          </w:p>
        </w:tc>
        <w:tc>
          <w:tcPr>
            <w:tcW w:type="dxa" w:w="2448"/>
            <w:shd w:val="clear" w:color="auto" w:fill="FFFDF3"/>
          </w:tcPr>
          <w:p>
            <w:pPr>
              <w:spacing w:before="40" w:after="40"/>
            </w:pPr>
            <w:r/>
            <w:r>
              <w:rPr>
                <w:rFonts w:ascii="Calibri" w:hAnsi="Calibri"/>
                <w:b w:val="0"/>
                <w:color w:val="23303B"/>
                <w:sz w:val="19"/>
              </w:rPr>
            </w:r>
          </w:p>
        </w:tc>
        <w:tc>
          <w:tcPr>
            <w:tcW w:type="dxa" w:w="158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86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3024"/>
            <w:shd w:val="clear" w:color="auto" w:fill="FFFDF3"/>
          </w:tcPr>
          <w:p>
            <w:pPr>
              <w:spacing w:before="40" w:after="40"/>
            </w:pPr>
            <w:r/>
            <w:r>
              <w:rPr>
                <w:rFonts w:ascii="Calibri" w:hAnsi="Calibri"/>
                <w:b w:val="0"/>
                <w:color w:val="23303B"/>
                <w:sz w:val="19"/>
              </w:rPr>
            </w:r>
          </w:p>
        </w:tc>
      </w:tr>
      <w:tr>
        <w:tc>
          <w:tcPr>
            <w:tcW w:type="dxa" w:w="432"/>
            <w:shd w:val="clear" w:color="auto" w:fill="F5F7F9"/>
          </w:tcPr>
          <w:p>
            <w:pPr>
              <w:spacing w:before="40" w:after="40"/>
            </w:pPr>
            <w:r/>
            <w:r>
              <w:rPr>
                <w:rFonts w:ascii="Calibri" w:hAnsi="Calibri"/>
                <w:b/>
                <w:color w:val="23303B"/>
                <w:sz w:val="19"/>
              </w:rPr>
              <w:t>6</w:t>
            </w:r>
          </w:p>
        </w:tc>
        <w:tc>
          <w:tcPr>
            <w:tcW w:type="dxa" w:w="2448"/>
            <w:shd w:val="clear" w:color="auto" w:fill="FFFDF3"/>
          </w:tcPr>
          <w:p>
            <w:pPr>
              <w:spacing w:before="40" w:after="40"/>
            </w:pPr>
            <w:r/>
            <w:r>
              <w:rPr>
                <w:rFonts w:ascii="Calibri" w:hAnsi="Calibri"/>
                <w:b w:val="0"/>
                <w:color w:val="23303B"/>
                <w:sz w:val="19"/>
              </w:rPr>
            </w:r>
          </w:p>
        </w:tc>
        <w:tc>
          <w:tcPr>
            <w:tcW w:type="dxa" w:w="158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86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3024"/>
            <w:shd w:val="clear" w:color="auto" w:fill="FFFDF3"/>
          </w:tcPr>
          <w:p>
            <w:pPr>
              <w:spacing w:before="40" w:after="40"/>
            </w:pPr>
            <w:r/>
            <w:r>
              <w:rPr>
                <w:rFonts w:ascii="Calibri" w:hAnsi="Calibri"/>
                <w:b w:val="0"/>
                <w:color w:val="23303B"/>
                <w:sz w:val="19"/>
              </w:rPr>
            </w:r>
          </w:p>
        </w:tc>
      </w:tr>
      <w:tr>
        <w:tc>
          <w:tcPr>
            <w:tcW w:type="dxa" w:w="432"/>
            <w:shd w:val="clear" w:color="auto" w:fill="F5F7F9"/>
          </w:tcPr>
          <w:p>
            <w:pPr>
              <w:spacing w:before="40" w:after="40"/>
            </w:pPr>
            <w:r/>
            <w:r>
              <w:rPr>
                <w:rFonts w:ascii="Calibri" w:hAnsi="Calibri"/>
                <w:b/>
                <w:color w:val="23303B"/>
                <w:sz w:val="19"/>
              </w:rPr>
              <w:t>7</w:t>
            </w:r>
          </w:p>
        </w:tc>
        <w:tc>
          <w:tcPr>
            <w:tcW w:type="dxa" w:w="2448"/>
            <w:shd w:val="clear" w:color="auto" w:fill="FFFDF3"/>
          </w:tcPr>
          <w:p>
            <w:pPr>
              <w:spacing w:before="40" w:after="40"/>
            </w:pPr>
            <w:r/>
            <w:r>
              <w:rPr>
                <w:rFonts w:ascii="Calibri" w:hAnsi="Calibri"/>
                <w:b w:val="0"/>
                <w:color w:val="23303B"/>
                <w:sz w:val="19"/>
              </w:rPr>
            </w:r>
          </w:p>
        </w:tc>
        <w:tc>
          <w:tcPr>
            <w:tcW w:type="dxa" w:w="158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86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3024"/>
            <w:shd w:val="clear" w:color="auto" w:fill="FFFDF3"/>
          </w:tcPr>
          <w:p>
            <w:pPr>
              <w:spacing w:before="40" w:after="40"/>
            </w:pPr>
            <w:r/>
            <w:r>
              <w:rPr>
                <w:rFonts w:ascii="Calibri" w:hAnsi="Calibri"/>
                <w:b w:val="0"/>
                <w:color w:val="23303B"/>
                <w:sz w:val="19"/>
              </w:rPr>
            </w:r>
          </w:p>
        </w:tc>
      </w:tr>
      <w:tr>
        <w:tc>
          <w:tcPr>
            <w:tcW w:type="dxa" w:w="432"/>
            <w:shd w:val="clear" w:color="auto" w:fill="F5F7F9"/>
          </w:tcPr>
          <w:p>
            <w:pPr>
              <w:spacing w:before="40" w:after="40"/>
            </w:pPr>
            <w:r/>
            <w:r>
              <w:rPr>
                <w:rFonts w:ascii="Calibri" w:hAnsi="Calibri"/>
                <w:b/>
                <w:color w:val="23303B"/>
                <w:sz w:val="19"/>
              </w:rPr>
              <w:t>8</w:t>
            </w:r>
          </w:p>
        </w:tc>
        <w:tc>
          <w:tcPr>
            <w:tcW w:type="dxa" w:w="2448"/>
            <w:shd w:val="clear" w:color="auto" w:fill="FFFDF3"/>
          </w:tcPr>
          <w:p>
            <w:pPr>
              <w:spacing w:before="40" w:after="40"/>
            </w:pPr>
            <w:r/>
            <w:r>
              <w:rPr>
                <w:rFonts w:ascii="Calibri" w:hAnsi="Calibri"/>
                <w:b w:val="0"/>
                <w:color w:val="23303B"/>
                <w:sz w:val="19"/>
              </w:rPr>
            </w:r>
          </w:p>
        </w:tc>
        <w:tc>
          <w:tcPr>
            <w:tcW w:type="dxa" w:w="158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86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3024"/>
            <w:shd w:val="clear" w:color="auto" w:fill="FFFDF3"/>
          </w:tcPr>
          <w:p>
            <w:pPr>
              <w:spacing w:before="40" w:after="40"/>
            </w:pPr>
            <w:r/>
            <w:r>
              <w:rPr>
                <w:rFonts w:ascii="Calibri" w:hAnsi="Calibri"/>
                <w:b w:val="0"/>
                <w:color w:val="23303B"/>
                <w:sz w:val="19"/>
              </w:rPr>
            </w:r>
          </w:p>
        </w:tc>
      </w:tr>
      <w:tr>
        <w:tc>
          <w:tcPr>
            <w:tcW w:type="dxa" w:w="432"/>
            <w:shd w:val="clear" w:color="auto" w:fill="F5F7F9"/>
          </w:tcPr>
          <w:p>
            <w:pPr>
              <w:spacing w:before="40" w:after="40"/>
            </w:pPr>
            <w:r/>
            <w:r>
              <w:rPr>
                <w:rFonts w:ascii="Calibri" w:hAnsi="Calibri"/>
                <w:b/>
                <w:color w:val="23303B"/>
                <w:sz w:val="19"/>
              </w:rPr>
              <w:t>9</w:t>
            </w:r>
          </w:p>
        </w:tc>
        <w:tc>
          <w:tcPr>
            <w:tcW w:type="dxa" w:w="2448"/>
            <w:shd w:val="clear" w:color="auto" w:fill="FFFDF3"/>
          </w:tcPr>
          <w:p>
            <w:pPr>
              <w:spacing w:before="40" w:after="40"/>
            </w:pPr>
            <w:r/>
            <w:r>
              <w:rPr>
                <w:rFonts w:ascii="Calibri" w:hAnsi="Calibri"/>
                <w:b w:val="0"/>
                <w:color w:val="23303B"/>
                <w:sz w:val="19"/>
              </w:rPr>
            </w:r>
          </w:p>
        </w:tc>
        <w:tc>
          <w:tcPr>
            <w:tcW w:type="dxa" w:w="158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86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3024"/>
            <w:shd w:val="clear" w:color="auto" w:fill="FFFDF3"/>
          </w:tcPr>
          <w:p>
            <w:pPr>
              <w:spacing w:before="40" w:after="40"/>
            </w:pPr>
            <w:r/>
            <w:r>
              <w:rPr>
                <w:rFonts w:ascii="Calibri" w:hAnsi="Calibri"/>
                <w:b w:val="0"/>
                <w:color w:val="23303B"/>
                <w:sz w:val="19"/>
              </w:rPr>
            </w:r>
          </w:p>
        </w:tc>
      </w:tr>
      <w:tr>
        <w:tc>
          <w:tcPr>
            <w:tcW w:type="dxa" w:w="432"/>
            <w:shd w:val="clear" w:color="auto" w:fill="F5F7F9"/>
          </w:tcPr>
          <w:p>
            <w:pPr>
              <w:spacing w:before="40" w:after="40"/>
            </w:pPr>
            <w:r/>
            <w:r>
              <w:rPr>
                <w:rFonts w:ascii="Calibri" w:hAnsi="Calibri"/>
                <w:b/>
                <w:color w:val="23303B"/>
                <w:sz w:val="19"/>
              </w:rPr>
              <w:t>10</w:t>
            </w:r>
          </w:p>
        </w:tc>
        <w:tc>
          <w:tcPr>
            <w:tcW w:type="dxa" w:w="2448"/>
            <w:shd w:val="clear" w:color="auto" w:fill="FFFDF3"/>
          </w:tcPr>
          <w:p>
            <w:pPr>
              <w:spacing w:before="40" w:after="40"/>
            </w:pPr>
            <w:r/>
            <w:r>
              <w:rPr>
                <w:rFonts w:ascii="Calibri" w:hAnsi="Calibri"/>
                <w:b w:val="0"/>
                <w:color w:val="23303B"/>
                <w:sz w:val="19"/>
              </w:rPr>
            </w:r>
          </w:p>
        </w:tc>
        <w:tc>
          <w:tcPr>
            <w:tcW w:type="dxa" w:w="158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864"/>
            <w:shd w:val="clear" w:color="auto" w:fill="FFFDF3"/>
          </w:tcPr>
          <w:p>
            <w:pPr>
              <w:spacing w:before="40" w:after="40"/>
            </w:pPr>
            <w:r/>
            <w:r>
              <w:rPr>
                <w:rFonts w:ascii="Calibri" w:hAnsi="Calibri"/>
                <w:b w:val="0"/>
                <w:color w:val="23303B"/>
                <w:sz w:val="19"/>
              </w:rPr>
            </w:r>
          </w:p>
        </w:tc>
        <w:tc>
          <w:tcPr>
            <w:tcW w:type="dxa" w:w="720"/>
            <w:shd w:val="clear" w:color="auto" w:fill="FFFDF3"/>
          </w:tcPr>
          <w:p>
            <w:pPr>
              <w:spacing w:before="40" w:after="40"/>
            </w:pPr>
            <w:r/>
            <w:r>
              <w:rPr>
                <w:rFonts w:ascii="Calibri" w:hAnsi="Calibri"/>
                <w:b w:val="0"/>
                <w:color w:val="23303B"/>
                <w:sz w:val="19"/>
              </w:rPr>
            </w:r>
          </w:p>
        </w:tc>
        <w:tc>
          <w:tcPr>
            <w:tcW w:type="dxa" w:w="3024"/>
            <w:shd w:val="clear" w:color="auto" w:fill="FFFDF3"/>
          </w:tcPr>
          <w:p>
            <w:pPr>
              <w:spacing w:before="40" w:after="40"/>
            </w:pPr>
            <w:r/>
            <w:r>
              <w:rPr>
                <w:rFonts w:ascii="Calibri" w:hAnsi="Calibri"/>
                <w:b w:val="0"/>
                <w:color w:val="23303B"/>
                <w:sz w:val="19"/>
              </w:rPr>
            </w:r>
          </w:p>
        </w:tc>
      </w:tr>
    </w:tbl>
    <w:p>
      <w:pPr>
        <w:spacing w:after="40"/>
      </w:pPr>
    </w:p>
    <w:p>
      <w:pPr>
        <w:keepNext/>
        <w:spacing w:before="220" w:after="80"/>
      </w:pPr>
      <w:r>
        <w:rPr>
          <w:rFonts w:ascii="Calibri" w:hAnsi="Calibri"/>
          <w:b/>
          <w:color w:val="1F3A5F"/>
          <w:sz w:val="28"/>
        </w:rPr>
        <w:t>4. Datos de los beneficiarios</w:t>
      </w:r>
    </w:p>
    <w:p>
      <w:pPr>
        <w:spacing w:after="120"/>
      </w:pPr>
      <w:r>
        <w:rPr>
          <w:rFonts w:ascii="Calibri" w:hAnsi="Calibri"/>
          <w:i w:val="0"/>
          <w:color w:val="23303B"/>
          <w:sz w:val="21"/>
        </w:rPr>
        <w:t>El archivo de nómina identifica a cada proveedor con datos que hoy pueden no estar cargados en Odoo. Necesitamos saber cómo se van a poblar y quién responde por ellos.</w:t>
      </w:r>
    </w:p>
    <w:tbl>
      <w:tblPr>
        <w:tblW w:type="auto" w:w="0"/>
        <w:tblLayout w:type="fixed"/>
        <w:tblLook w:firstColumn="1" w:firstRow="1" w:lastColumn="0" w:lastRow="0" w:noHBand="0" w:noVBand="1" w:val="04A0"/>
        <w:tblBorders>
          <w:top w:val="single" w:sz="6" w:space="0" w:color="D3DBE3"/>
          <w:left w:val="single" w:sz="6" w:space="0" w:color="D3DBE3"/>
          <w:bottom w:val="single" w:sz="6" w:space="0" w:color="D3DBE3"/>
          <w:right w:val="single" w:sz="6" w:space="0" w:color="D3DBE3"/>
          <w:insideH w:val="single" w:sz="6" w:space="0" w:color="D3DBE3"/>
          <w:insideV w:val="single" w:sz="6" w:space="0" w:color="D3DBE3"/>
        </w:tblBorders>
      </w:tblPr>
      <w:tblGrid>
        <w:gridCol w:w="4896"/>
        <w:gridCol w:w="4896"/>
      </w:tblGrid>
      <w:tr>
        <w:tc>
          <w:tcPr>
            <w:tcW w:type="dxa" w:w="6192"/>
            <w:shd w:val="clear" w:color="auto" w:fill="1F3A5F"/>
          </w:tcPr>
          <w:p>
            <w:pPr>
              <w:spacing w:before="40" w:after="40"/>
            </w:pPr>
            <w:r/>
            <w:r>
              <w:rPr>
                <w:rFonts w:ascii="Calibri" w:hAnsi="Calibri"/>
                <w:b/>
                <w:color w:val="FFFFFF"/>
                <w:sz w:val="19"/>
              </w:rPr>
              <w:t>Dato o pregunta</w:t>
            </w:r>
          </w:p>
        </w:tc>
        <w:tc>
          <w:tcPr>
            <w:tcW w:type="dxa" w:w="3456"/>
            <w:shd w:val="clear" w:color="auto" w:fill="1F3A5F"/>
          </w:tcPr>
          <w:p>
            <w:pPr>
              <w:spacing w:before="40" w:after="40"/>
            </w:pPr>
            <w:r/>
            <w:r>
              <w:rPr>
                <w:rFonts w:ascii="Calibri" w:hAnsi="Calibri"/>
                <w:b/>
                <w:color w:val="FFFFFF"/>
                <w:sz w:val="19"/>
              </w:rPr>
              <w:t>Respuesta</w:t>
            </w:r>
          </w:p>
        </w:tc>
      </w:tr>
      <w:tr>
        <w:tc>
          <w:tcPr>
            <w:tcW w:type="dxa" w:w="6192"/>
            <w:shd w:val="clear" w:color="auto" w:fill="F5F7F9"/>
          </w:tcPr>
          <w:p>
            <w:pPr>
              <w:spacing w:before="40" w:after="40"/>
            </w:pPr>
            <w:r/>
            <w:r>
              <w:rPr>
                <w:rFonts w:ascii="Calibri" w:hAnsi="Calibri"/>
                <w:b/>
                <w:color w:val="23303B"/>
                <w:sz w:val="19"/>
              </w:rPr>
              <w:t>¿Qué identifica al beneficiario en el archivo? (RUT, número de cuenta, ambos)</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¿El banco exige el tipo de cuenta (corriente, vista, ahorro)? ¿Con qué código?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¿El banco exige el código del banco de destino? ¿Con qué tabla de códigos?</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¿Se envía correo de aviso al proveedor? ¿Lo manda el banco o lo mandamos nosotros?</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¿Dónde están hoy esos datos? (Odoo, planilla, sistema anterior)</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¿Quién los carga y quién los valida antes del primer pago?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¿Se acepta pagar a la cuenta de un tercero distinto del proveedor?</w:t>
            </w:r>
          </w:p>
        </w:tc>
        <w:tc>
          <w:tcPr>
            <w:tcW w:type="dxa" w:w="3456"/>
            <w:shd w:val="clear" w:color="auto" w:fill="FFFDF3"/>
          </w:tcPr>
          <w:p>
            <w:pPr>
              <w:spacing w:before="40" w:after="40"/>
            </w:pPr>
            <w:r/>
            <w:r>
              <w:rPr>
                <w:rFonts w:ascii="Calibri" w:hAnsi="Calibri"/>
                <w:b w:val="0"/>
                <w:color w:val="23303B"/>
                <w:sz w:val="19"/>
              </w:rPr>
            </w:r>
          </w:p>
        </w:tc>
      </w:tr>
    </w:tbl>
    <w:p>
      <w:pPr>
        <w:spacing w:after="40"/>
      </w:pPr>
    </w:p>
    <w:tbl>
      <w:tblPr>
        <w:tblW w:type="auto" w:w="0"/>
        <w:jc w:val="center"/>
        <w:tblLook w:firstColumn="1" w:firstRow="1" w:lastColumn="0" w:lastRow="0" w:noHBand="0" w:noVBand="1" w:val="04A0"/>
        <w:tblBorders>
          <w:top w:val="single" w:sz="6" w:space="0" w:color="BBD6EC"/>
          <w:left w:val="single" w:sz="6" w:space="0" w:color="BBD6EC"/>
          <w:bottom w:val="single" w:sz="6" w:space="0" w:color="BBD6EC"/>
          <w:right w:val="single" w:sz="6" w:space="0" w:color="BBD6EC"/>
          <w:insideH w:val="single" w:sz="6" w:space="0" w:color="BBD6EC"/>
          <w:insideV w:val="single" w:sz="6" w:space="0" w:color="BBD6EC"/>
        </w:tblBorders>
      </w:tblPr>
      <w:tblGrid>
        <w:gridCol w:w="9792"/>
      </w:tblGrid>
      <w:tr>
        <w:tc>
          <w:tcPr>
            <w:tcW w:type="dxa" w:w="9792"/>
            <w:shd w:val="clear" w:color="auto" w:fill="EAF3FB"/>
          </w:tcPr>
          <w:p>
            <w:pPr>
              <w:spacing w:before="80" w:after="40"/>
            </w:pPr>
            <w:r/>
            <w:r>
              <w:rPr>
                <w:rFonts w:ascii="Calibri" w:hAnsi="Calibri"/>
                <w:b/>
                <w:color w:val="1F3A5F"/>
                <w:sz w:val="20"/>
              </w:rPr>
              <w:t>Por qué preguntamos quién valida las cuentas</w:t>
            </w:r>
          </w:p>
          <w:p>
            <w:pPr>
              <w:spacing w:after="80"/>
            </w:pPr>
            <w:r>
              <w:rPr>
                <w:rFonts w:ascii="Calibri" w:hAnsi="Calibri"/>
                <w:color w:val="23303B"/>
                <w:sz w:val="20"/>
              </w:rPr>
              <w:t>Odoo marca toda cuenta bancaria nueva como «no confiable» hasta que alguien la valida a mano, y no permite transferirle dinero hasta entonces. Es la defensa estándar contra el fraude de cambio de cuenta —el estafador se hace pasar por un proveedor conocido y envía datos bancarios nuevos—. Definir quién tendrá ese permiso es parte del requerimiento, no un detalle técnico.</w:t>
            </w:r>
          </w:p>
        </w:tc>
      </w:tr>
    </w:tbl>
    <w:p>
      <w:pPr>
        <w:spacing w:after="40"/>
      </w:pPr>
    </w:p>
    <w:p>
      <w:pPr>
        <w:keepNext/>
        <w:spacing w:before="220" w:after="80"/>
      </w:pPr>
      <w:r>
        <w:rPr>
          <w:rFonts w:ascii="Calibri" w:hAnsi="Calibri"/>
          <w:b/>
          <w:color w:val="1F3A5F"/>
          <w:sz w:val="28"/>
        </w:rPr>
        <w:t>5. Integración directa con la API del banco</w:t>
      </w:r>
    </w:p>
    <w:p>
      <w:pPr>
        <w:spacing w:after="120"/>
      </w:pPr>
      <w:r>
        <w:rPr>
          <w:rFonts w:ascii="Calibri" w:hAnsi="Calibri"/>
          <w:i w:val="0"/>
          <w:color w:val="23303B"/>
          <w:sz w:val="21"/>
        </w:rPr>
        <w:t>Subir la nómina por API es un proyecto distinto del archivo TXT: exige un convenio aparte con el banco, credenciales y un ambiente de pruebas. Puede avanzar después del TXT o en paralelo, pero no puede empezar sin estas respuestas.</w:t>
      </w:r>
    </w:p>
    <w:tbl>
      <w:tblPr>
        <w:tblW w:type="auto" w:w="0"/>
        <w:tblLayout w:type="fixed"/>
        <w:tblLook w:firstColumn="1" w:firstRow="1" w:lastColumn="0" w:lastRow="0" w:noHBand="0" w:noVBand="1" w:val="04A0"/>
        <w:tblBorders>
          <w:top w:val="single" w:sz="6" w:space="0" w:color="D3DBE3"/>
          <w:left w:val="single" w:sz="6" w:space="0" w:color="D3DBE3"/>
          <w:bottom w:val="single" w:sz="6" w:space="0" w:color="D3DBE3"/>
          <w:right w:val="single" w:sz="6" w:space="0" w:color="D3DBE3"/>
          <w:insideH w:val="single" w:sz="6" w:space="0" w:color="D3DBE3"/>
          <w:insideV w:val="single" w:sz="6" w:space="0" w:color="D3DBE3"/>
        </w:tblBorders>
      </w:tblPr>
      <w:tblGrid>
        <w:gridCol w:w="4896"/>
        <w:gridCol w:w="4896"/>
      </w:tblGrid>
      <w:tr>
        <w:tc>
          <w:tcPr>
            <w:tcW w:type="dxa" w:w="6192"/>
            <w:shd w:val="clear" w:color="auto" w:fill="1F3A5F"/>
          </w:tcPr>
          <w:p>
            <w:pPr>
              <w:spacing w:before="40" w:after="40"/>
            </w:pPr>
            <w:r/>
            <w:r>
              <w:rPr>
                <w:rFonts w:ascii="Calibri" w:hAnsi="Calibri"/>
                <w:b/>
                <w:color w:val="FFFFFF"/>
                <w:sz w:val="19"/>
              </w:rPr>
              <w:t>Dato o pregunta</w:t>
            </w:r>
          </w:p>
        </w:tc>
        <w:tc>
          <w:tcPr>
            <w:tcW w:type="dxa" w:w="3456"/>
            <w:shd w:val="clear" w:color="auto" w:fill="1F3A5F"/>
          </w:tcPr>
          <w:p>
            <w:pPr>
              <w:spacing w:before="40" w:after="40"/>
            </w:pPr>
            <w:r/>
            <w:r>
              <w:rPr>
                <w:rFonts w:ascii="Calibri" w:hAnsi="Calibri"/>
                <w:b/>
                <w:color w:val="FFFFFF"/>
                <w:sz w:val="19"/>
              </w:rPr>
              <w:t>Respuesta</w:t>
            </w:r>
          </w:p>
        </w:tc>
      </w:tr>
      <w:tr>
        <w:tc>
          <w:tcPr>
            <w:tcW w:type="dxa" w:w="6192"/>
            <w:shd w:val="clear" w:color="auto" w:fill="F5F7F9"/>
          </w:tcPr>
          <w:p>
            <w:pPr>
              <w:spacing w:before="40" w:after="40"/>
            </w:pPr>
            <w:r/>
            <w:r>
              <w:rPr>
                <w:rFonts w:ascii="Calibri" w:hAnsi="Calibri"/>
                <w:b/>
                <w:color w:val="23303B"/>
                <w:sz w:val="19"/>
              </w:rPr>
              <w:t>¿Con qué banco se parte?</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¿La empresa ya tiene contratado el servicio de API / host to host?</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¿Qué credencial entrega el banco? (certificado digital, API key, mTLS, OAuth)</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¿Existe ambiente de pruebas del banco? ¿Cómo se solicita?</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¿Quién autoriza y firma la nómina en el banco? ¿Hay doble aprobación?</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¿La autorización se hace desde Odoo o desde el portal del banco?</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¿El banco expone consulta del estado del pago? ¿Y de los rechazos?</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¿Desde qué IP fija sale la conexión? (el banco suele exigir lista blanca)</w:t>
            </w:r>
          </w:p>
        </w:tc>
        <w:tc>
          <w:tcPr>
            <w:tcW w:type="dxa" w:w="3456"/>
            <w:shd w:val="clear" w:color="auto" w:fill="FFFDF3"/>
          </w:tcPr>
          <w:p>
            <w:pPr>
              <w:spacing w:before="40" w:after="40"/>
            </w:pPr>
            <w:r/>
            <w:r>
              <w:rPr>
                <w:rFonts w:ascii="Calibri" w:hAnsi="Calibri"/>
                <w:b w:val="0"/>
                <w:color w:val="23303B"/>
                <w:sz w:val="19"/>
              </w:rPr>
            </w:r>
          </w:p>
        </w:tc>
      </w:tr>
      <w:tr>
        <w:tc>
          <w:tcPr>
            <w:tcW w:type="dxa" w:w="6192"/>
            <w:shd w:val="clear" w:color="auto" w:fill="F5F7F9"/>
          </w:tcPr>
          <w:p>
            <w:pPr>
              <w:spacing w:before="40" w:after="40"/>
            </w:pPr>
            <w:r/>
            <w:r>
              <w:rPr>
                <w:rFonts w:ascii="Calibri" w:hAnsi="Calibri"/>
                <w:b/>
                <w:color w:val="23303B"/>
                <w:sz w:val="19"/>
              </w:rPr>
              <w:t>Fecha objetivo para tener disponible el ambiente de pruebas</w:t>
            </w:r>
          </w:p>
        </w:tc>
        <w:tc>
          <w:tcPr>
            <w:tcW w:type="dxa" w:w="3456"/>
            <w:shd w:val="clear" w:color="auto" w:fill="FFFDF3"/>
          </w:tcPr>
          <w:p>
            <w:pPr>
              <w:spacing w:before="40" w:after="40"/>
            </w:pPr>
            <w:r/>
            <w:r>
              <w:rPr>
                <w:rFonts w:ascii="Calibri" w:hAnsi="Calibri"/>
                <w:b w:val="0"/>
                <w:color w:val="23303B"/>
                <w:sz w:val="19"/>
              </w:rPr>
            </w:r>
          </w:p>
        </w:tc>
      </w:tr>
    </w:tbl>
    <w:p>
      <w:pPr>
        <w:spacing w:after="40"/>
      </w:pPr>
    </w:p>
    <w:p>
      <w:pPr>
        <w:keepNext/>
        <w:spacing w:before="220" w:after="80"/>
      </w:pPr>
      <w:r>
        <w:rPr>
          <w:rFonts w:ascii="Calibri" w:hAnsi="Calibri"/>
          <w:b/>
          <w:color w:val="1F3A5F"/>
          <w:sz w:val="28"/>
        </w:rPr>
        <w:t>6. Reglas de operación del lote</w:t>
      </w:r>
    </w:p>
    <w:p>
      <w:pPr>
        <w:spacing w:after="120"/>
      </w:pPr>
      <w:r>
        <w:rPr>
          <w:rFonts w:ascii="Calibri" w:hAnsi="Calibri"/>
          <w:i w:val="0"/>
          <w:color w:val="23303B"/>
          <w:sz w:val="21"/>
        </w:rPr>
        <w:t>Este punto ya está construido y funcionando. Estas preguntas no bloquean nada: el proceso opera con lo que indica la columna «Como está hoy». Sólo necesitamos que lo confirmen o lo corrijan.</w:t>
      </w:r>
    </w:p>
    <w:tbl>
      <w:tblPr>
        <w:tblW w:type="auto" w:w="0"/>
        <w:tblLayout w:type="fixed"/>
        <w:tblLook w:firstColumn="1" w:firstRow="1" w:lastColumn="0" w:lastRow="0" w:noHBand="0" w:noVBand="1" w:val="04A0"/>
        <w:tblBorders>
          <w:top w:val="single" w:sz="6" w:space="0" w:color="D3DBE3"/>
          <w:left w:val="single" w:sz="6" w:space="0" w:color="D3DBE3"/>
          <w:bottom w:val="single" w:sz="6" w:space="0" w:color="D3DBE3"/>
          <w:right w:val="single" w:sz="6" w:space="0" w:color="D3DBE3"/>
          <w:insideH w:val="single" w:sz="6" w:space="0" w:color="D3DBE3"/>
          <w:insideV w:val="single" w:sz="6" w:space="0" w:color="D3DBE3"/>
        </w:tblBorders>
      </w:tblPr>
      <w:tblGrid>
        <w:gridCol w:w="3264"/>
        <w:gridCol w:w="3264"/>
        <w:gridCol w:w="3264"/>
      </w:tblGrid>
      <w:tr>
        <w:tc>
          <w:tcPr>
            <w:tcW w:type="dxa" w:w="3168"/>
            <w:shd w:val="clear" w:color="auto" w:fill="1F3A5F"/>
          </w:tcPr>
          <w:p>
            <w:pPr>
              <w:spacing w:before="40" w:after="40"/>
            </w:pPr>
            <w:r/>
            <w:r>
              <w:rPr>
                <w:rFonts w:ascii="Calibri" w:hAnsi="Calibri"/>
                <w:b/>
                <w:color w:val="FFFFFF"/>
                <w:sz w:val="19"/>
              </w:rPr>
              <w:t>Pregunta</w:t>
            </w:r>
          </w:p>
        </w:tc>
        <w:tc>
          <w:tcPr>
            <w:tcW w:type="dxa" w:w="3744"/>
            <w:shd w:val="clear" w:color="auto" w:fill="1F3A5F"/>
          </w:tcPr>
          <w:p>
            <w:pPr>
              <w:spacing w:before="40" w:after="40"/>
            </w:pPr>
            <w:r/>
            <w:r>
              <w:rPr>
                <w:rFonts w:ascii="Calibri" w:hAnsi="Calibri"/>
                <w:b/>
                <w:color w:val="FFFFFF"/>
                <w:sz w:val="19"/>
              </w:rPr>
              <w:t>Como está hoy</w:t>
            </w:r>
          </w:p>
        </w:tc>
        <w:tc>
          <w:tcPr>
            <w:tcW w:type="dxa" w:w="2736"/>
            <w:shd w:val="clear" w:color="auto" w:fill="1F3A5F"/>
          </w:tcPr>
          <w:p>
            <w:pPr>
              <w:spacing w:before="40" w:after="40"/>
            </w:pPr>
            <w:r/>
            <w:r>
              <w:rPr>
                <w:rFonts w:ascii="Calibri" w:hAnsi="Calibri"/>
                <w:b/>
                <w:color w:val="FFFFFF"/>
                <w:sz w:val="19"/>
              </w:rPr>
              <w:t>Confirmación o cambio</w:t>
            </w:r>
          </w:p>
        </w:tc>
      </w:tr>
      <w:tr>
        <w:tc>
          <w:tcPr>
            <w:tcW w:type="dxa" w:w="3168"/>
            <w:shd w:val="clear" w:color="auto" w:fill="F5F7F9"/>
          </w:tcPr>
          <w:p>
            <w:pPr>
              <w:spacing w:before="40" w:after="40"/>
            </w:pPr>
            <w:r/>
            <w:r>
              <w:rPr>
                <w:rFonts w:ascii="Calibri" w:hAnsi="Calibri"/>
                <w:b/>
                <w:color w:val="23303B"/>
                <w:sz w:val="19"/>
              </w:rPr>
              <w:t>¿Qué se propone pagar?</w:t>
            </w:r>
          </w:p>
        </w:tc>
        <w:tc>
          <w:tcPr>
            <w:tcW w:type="dxa" w:w="3744"/>
          </w:tcPr>
          <w:p>
            <w:pPr>
              <w:spacing w:before="40" w:after="40"/>
            </w:pPr>
            <w:r/>
            <w:r>
              <w:rPr>
                <w:rFonts w:ascii="Calibri" w:hAnsi="Calibri"/>
                <w:b w:val="0"/>
                <w:color w:val="23303B"/>
                <w:sz w:val="19"/>
              </w:rPr>
              <w:t>Egresos vencidos más los de la semana 1 del horizonte</w:t>
            </w:r>
          </w:p>
        </w:tc>
        <w:tc>
          <w:tcPr>
            <w:tcW w:type="dxa" w:w="2736"/>
            <w:shd w:val="clear" w:color="auto" w:fill="FFFDF3"/>
          </w:tcPr>
          <w:p>
            <w:pPr>
              <w:spacing w:before="40" w:after="40"/>
            </w:pPr>
            <w:r/>
            <w:r>
              <w:rPr>
                <w:rFonts w:ascii="Calibri" w:hAnsi="Calibri"/>
                <w:b w:val="0"/>
                <w:color w:val="23303B"/>
                <w:sz w:val="19"/>
              </w:rPr>
            </w:r>
          </w:p>
        </w:tc>
      </w:tr>
      <w:tr>
        <w:tc>
          <w:tcPr>
            <w:tcW w:type="dxa" w:w="3168"/>
            <w:shd w:val="clear" w:color="auto" w:fill="F5F7F9"/>
          </w:tcPr>
          <w:p>
            <w:pPr>
              <w:spacing w:before="40" w:after="40"/>
            </w:pPr>
            <w:r/>
            <w:r>
              <w:rPr>
                <w:rFonts w:ascii="Calibri" w:hAnsi="Calibri"/>
                <w:b/>
                <w:color w:val="23303B"/>
                <w:sz w:val="19"/>
              </w:rPr>
              <w:t>¿Quién puede armar un lote?</w:t>
            </w:r>
          </w:p>
        </w:tc>
        <w:tc>
          <w:tcPr>
            <w:tcW w:type="dxa" w:w="3744"/>
          </w:tcPr>
          <w:p>
            <w:pPr>
              <w:spacing w:before="40" w:after="40"/>
            </w:pPr>
            <w:r/>
            <w:r>
              <w:rPr>
                <w:rFonts w:ascii="Calibri" w:hAnsi="Calibri"/>
                <w:b w:val="0"/>
                <w:color w:val="23303B"/>
                <w:sz w:val="19"/>
              </w:rPr>
              <w:t>Perfil Tesorería: operación</w:t>
            </w:r>
          </w:p>
        </w:tc>
        <w:tc>
          <w:tcPr>
            <w:tcW w:type="dxa" w:w="2736"/>
            <w:shd w:val="clear" w:color="auto" w:fill="FFFDF3"/>
          </w:tcPr>
          <w:p>
            <w:pPr>
              <w:spacing w:before="40" w:after="40"/>
            </w:pPr>
            <w:r/>
            <w:r>
              <w:rPr>
                <w:rFonts w:ascii="Calibri" w:hAnsi="Calibri"/>
                <w:b w:val="0"/>
                <w:color w:val="23303B"/>
                <w:sz w:val="19"/>
              </w:rPr>
            </w:r>
          </w:p>
        </w:tc>
      </w:tr>
      <w:tr>
        <w:tc>
          <w:tcPr>
            <w:tcW w:type="dxa" w:w="3168"/>
            <w:shd w:val="clear" w:color="auto" w:fill="F5F7F9"/>
          </w:tcPr>
          <w:p>
            <w:pPr>
              <w:spacing w:before="40" w:after="40"/>
            </w:pPr>
            <w:r/>
            <w:r>
              <w:rPr>
                <w:rFonts w:ascii="Calibri" w:hAnsi="Calibri"/>
                <w:b/>
                <w:color w:val="23303B"/>
                <w:sz w:val="19"/>
              </w:rPr>
              <w:t>¿Quién autoriza el lote antes de enviarlo al banco?</w:t>
            </w:r>
          </w:p>
        </w:tc>
        <w:tc>
          <w:tcPr>
            <w:tcW w:type="dxa" w:w="3744"/>
          </w:tcPr>
          <w:p>
            <w:pPr>
              <w:spacing w:before="40" w:after="40"/>
            </w:pPr>
            <w:r/>
            <w:r>
              <w:rPr>
                <w:rFonts w:ascii="Calibri" w:hAnsi="Calibri"/>
                <w:b w:val="0"/>
                <w:color w:val="23303B"/>
                <w:sz w:val="19"/>
              </w:rPr>
              <w:t>El lote queda en borrador hasta que alguien lo valida en Contabilidad</w:t>
            </w:r>
          </w:p>
        </w:tc>
        <w:tc>
          <w:tcPr>
            <w:tcW w:type="dxa" w:w="2736"/>
            <w:shd w:val="clear" w:color="auto" w:fill="FFFDF3"/>
          </w:tcPr>
          <w:p>
            <w:pPr>
              <w:spacing w:before="40" w:after="40"/>
            </w:pPr>
            <w:r/>
            <w:r>
              <w:rPr>
                <w:rFonts w:ascii="Calibri" w:hAnsi="Calibri"/>
                <w:b w:val="0"/>
                <w:color w:val="23303B"/>
                <w:sz w:val="19"/>
              </w:rPr>
            </w:r>
          </w:p>
        </w:tc>
      </w:tr>
      <w:tr>
        <w:tc>
          <w:tcPr>
            <w:tcW w:type="dxa" w:w="3168"/>
            <w:shd w:val="clear" w:color="auto" w:fill="F5F7F9"/>
          </w:tcPr>
          <w:p>
            <w:pPr>
              <w:spacing w:before="40" w:after="40"/>
            </w:pPr>
            <w:r/>
            <w:r>
              <w:rPr>
                <w:rFonts w:ascii="Calibri" w:hAnsi="Calibri"/>
                <w:b/>
                <w:color w:val="23303B"/>
                <w:sz w:val="19"/>
              </w:rPr>
              <w:t>¿Se permite pagar una cuota parcial de una factura?</w:t>
            </w:r>
          </w:p>
        </w:tc>
        <w:tc>
          <w:tcPr>
            <w:tcW w:type="dxa" w:w="3744"/>
          </w:tcPr>
          <w:p>
            <w:pPr>
              <w:spacing w:before="40" w:after="40"/>
            </w:pPr>
            <w:r/>
            <w:r>
              <w:rPr>
                <w:rFonts w:ascii="Calibri" w:hAnsi="Calibri"/>
                <w:b w:val="0"/>
                <w:color w:val="23303B"/>
                <w:sz w:val="19"/>
              </w:rPr>
              <w:t>Sí: se paga la cuota seleccionada y la factura queda con su saldo</w:t>
            </w:r>
          </w:p>
        </w:tc>
        <w:tc>
          <w:tcPr>
            <w:tcW w:type="dxa" w:w="2736"/>
            <w:shd w:val="clear" w:color="auto" w:fill="FFFDF3"/>
          </w:tcPr>
          <w:p>
            <w:pPr>
              <w:spacing w:before="40" w:after="40"/>
            </w:pPr>
            <w:r/>
            <w:r>
              <w:rPr>
                <w:rFonts w:ascii="Calibri" w:hAnsi="Calibri"/>
                <w:b w:val="0"/>
                <w:color w:val="23303B"/>
                <w:sz w:val="19"/>
              </w:rPr>
            </w:r>
          </w:p>
        </w:tc>
      </w:tr>
      <w:tr>
        <w:tc>
          <w:tcPr>
            <w:tcW w:type="dxa" w:w="3168"/>
            <w:shd w:val="clear" w:color="auto" w:fill="F5F7F9"/>
          </w:tcPr>
          <w:p>
            <w:pPr>
              <w:spacing w:before="40" w:after="40"/>
            </w:pPr>
            <w:r/>
            <w:r>
              <w:rPr>
                <w:rFonts w:ascii="Calibri" w:hAnsi="Calibri"/>
                <w:b/>
                <w:color w:val="23303B"/>
                <w:sz w:val="19"/>
              </w:rPr>
              <w:t>¿Se pueden pagar órdenes de compra o proformas sin factura?</w:t>
            </w:r>
          </w:p>
        </w:tc>
        <w:tc>
          <w:tcPr>
            <w:tcW w:type="dxa" w:w="3744"/>
          </w:tcPr>
          <w:p>
            <w:pPr>
              <w:spacing w:before="40" w:after="40"/>
            </w:pPr>
            <w:r/>
            <w:r>
              <w:rPr>
                <w:rFonts w:ascii="Calibri" w:hAnsi="Calibri"/>
                <w:b w:val="0"/>
                <w:color w:val="23303B"/>
                <w:sz w:val="19"/>
              </w:rPr>
              <w:t>No: sólo una factura publicada genera el asiento que el pago concilia</w:t>
            </w:r>
          </w:p>
        </w:tc>
        <w:tc>
          <w:tcPr>
            <w:tcW w:type="dxa" w:w="2736"/>
            <w:shd w:val="clear" w:color="auto" w:fill="FFFDF3"/>
          </w:tcPr>
          <w:p>
            <w:pPr>
              <w:spacing w:before="40" w:after="40"/>
            </w:pPr>
            <w:r/>
            <w:r>
              <w:rPr>
                <w:rFonts w:ascii="Calibri" w:hAnsi="Calibri"/>
                <w:b w:val="0"/>
                <w:color w:val="23303B"/>
                <w:sz w:val="19"/>
              </w:rPr>
            </w:r>
          </w:p>
        </w:tc>
      </w:tr>
      <w:tr>
        <w:tc>
          <w:tcPr>
            <w:tcW w:type="dxa" w:w="3168"/>
            <w:shd w:val="clear" w:color="auto" w:fill="F5F7F9"/>
          </w:tcPr>
          <w:p>
            <w:pPr>
              <w:spacing w:before="40" w:after="40"/>
            </w:pPr>
            <w:r/>
            <w:r>
              <w:rPr>
                <w:rFonts w:ascii="Calibri" w:hAnsi="Calibri"/>
                <w:b/>
                <w:color w:val="23303B"/>
                <w:sz w:val="19"/>
              </w:rPr>
              <w:t>¿Hay un tope de monto por lote que exija otra aprobación?</w:t>
            </w:r>
          </w:p>
        </w:tc>
        <w:tc>
          <w:tcPr>
            <w:tcW w:type="dxa" w:w="3744"/>
          </w:tcPr>
          <w:p>
            <w:pPr>
              <w:spacing w:before="40" w:after="40"/>
            </w:pPr>
            <w:r/>
            <w:r>
              <w:rPr>
                <w:rFonts w:ascii="Calibri" w:hAnsi="Calibri"/>
                <w:b w:val="0"/>
                <w:color w:val="23303B"/>
                <w:sz w:val="19"/>
              </w:rPr>
              <w:t>No hay tope</w:t>
            </w:r>
          </w:p>
        </w:tc>
        <w:tc>
          <w:tcPr>
            <w:tcW w:type="dxa" w:w="2736"/>
            <w:shd w:val="clear" w:color="auto" w:fill="FFFDF3"/>
          </w:tcPr>
          <w:p>
            <w:pPr>
              <w:spacing w:before="40" w:after="40"/>
            </w:pPr>
            <w:r/>
            <w:r>
              <w:rPr>
                <w:rFonts w:ascii="Calibri" w:hAnsi="Calibri"/>
                <w:b w:val="0"/>
                <w:color w:val="23303B"/>
                <w:sz w:val="19"/>
              </w:rPr>
            </w:r>
          </w:p>
        </w:tc>
      </w:tr>
      <w:tr>
        <w:tc>
          <w:tcPr>
            <w:tcW w:type="dxa" w:w="3168"/>
            <w:shd w:val="clear" w:color="auto" w:fill="F5F7F9"/>
          </w:tcPr>
          <w:p>
            <w:pPr>
              <w:spacing w:before="40" w:after="40"/>
            </w:pPr>
            <w:r/>
            <w:r>
              <w:rPr>
                <w:rFonts w:ascii="Calibri" w:hAnsi="Calibri"/>
                <w:b/>
                <w:color w:val="23303B"/>
                <w:sz w:val="19"/>
              </w:rPr>
              <w:t>¿Qué pasa con facturas en moneda extranjera?</w:t>
            </w:r>
          </w:p>
        </w:tc>
        <w:tc>
          <w:tcPr>
            <w:tcW w:type="dxa" w:w="3744"/>
          </w:tcPr>
          <w:p>
            <w:pPr>
              <w:spacing w:before="40" w:after="40"/>
            </w:pPr>
            <w:r/>
            <w:r>
              <w:rPr>
                <w:rFonts w:ascii="Calibri" w:hAnsi="Calibri"/>
                <w:b w:val="0"/>
                <w:color w:val="23303B"/>
                <w:sz w:val="19"/>
              </w:rPr>
              <w:t>Se pagan en la moneda del documento</w:t>
            </w:r>
          </w:p>
        </w:tc>
        <w:tc>
          <w:tcPr>
            <w:tcW w:type="dxa" w:w="2736"/>
            <w:shd w:val="clear" w:color="auto" w:fill="FFFDF3"/>
          </w:tcPr>
          <w:p>
            <w:pPr>
              <w:spacing w:before="40" w:after="40"/>
            </w:pPr>
            <w:r/>
            <w:r>
              <w:rPr>
                <w:rFonts w:ascii="Calibri" w:hAnsi="Calibri"/>
                <w:b w:val="0"/>
                <w:color w:val="23303B"/>
                <w:sz w:val="19"/>
              </w:rPr>
            </w:r>
          </w:p>
        </w:tc>
      </w:tr>
      <w:tr>
        <w:tc>
          <w:tcPr>
            <w:tcW w:type="dxa" w:w="3168"/>
            <w:shd w:val="clear" w:color="auto" w:fill="F5F7F9"/>
          </w:tcPr>
          <w:p>
            <w:pPr>
              <w:spacing w:before="40" w:after="40"/>
            </w:pPr>
            <w:r/>
            <w:r>
              <w:rPr>
                <w:rFonts w:ascii="Calibri" w:hAnsi="Calibri"/>
                <w:b/>
                <w:color w:val="23303B"/>
                <w:sz w:val="19"/>
              </w:rPr>
              <w:t>¿Se descuentan retenciones o notas de crédito antes de pagar?</w:t>
            </w:r>
          </w:p>
        </w:tc>
        <w:tc>
          <w:tcPr>
            <w:tcW w:type="dxa" w:w="3744"/>
          </w:tcPr>
          <w:p>
            <w:pPr>
              <w:spacing w:before="40" w:after="40"/>
            </w:pPr>
            <w:r/>
            <w:r>
              <w:rPr>
                <w:rFonts w:ascii="Calibri" w:hAnsi="Calibri"/>
                <w:b w:val="0"/>
                <w:color w:val="23303B"/>
                <w:sz w:val="19"/>
              </w:rPr>
              <w:t>Se paga el saldo pendiente, que ya considera las notas de crédito aplicadas</w:t>
            </w:r>
          </w:p>
        </w:tc>
        <w:tc>
          <w:tcPr>
            <w:tcW w:type="dxa" w:w="2736"/>
            <w:shd w:val="clear" w:color="auto" w:fill="FFFDF3"/>
          </w:tcPr>
          <w:p>
            <w:pPr>
              <w:spacing w:before="40" w:after="40"/>
            </w:pPr>
            <w:r/>
            <w:r>
              <w:rPr>
                <w:rFonts w:ascii="Calibri" w:hAnsi="Calibri"/>
                <w:b w:val="0"/>
                <w:color w:val="23303B"/>
                <w:sz w:val="19"/>
              </w:rPr>
            </w:r>
          </w:p>
        </w:tc>
      </w:tr>
    </w:tbl>
    <w:p>
      <w:pPr>
        <w:spacing w:after="40"/>
      </w:pPr>
    </w:p>
    <w:p>
      <w:pPr>
        <w:keepNext/>
        <w:spacing w:before="220" w:after="80"/>
      </w:pPr>
      <w:r>
        <w:rPr>
          <w:rFonts w:ascii="Calibri" w:hAnsi="Calibri"/>
          <w:b/>
          <w:color w:val="1F3A5F"/>
          <w:sz w:val="28"/>
        </w:rPr>
        <w:t>7. Ambientes y validación</w:t>
      </w:r>
    </w:p>
    <w:tbl>
      <w:tblPr>
        <w:tblW w:type="auto" w:w="0"/>
        <w:tblLayout w:type="fixed"/>
        <w:tblLook w:firstColumn="1" w:firstRow="1" w:lastColumn="0" w:lastRow="0" w:noHBand="0" w:noVBand="1" w:val="04A0"/>
        <w:tblBorders>
          <w:top w:val="single" w:sz="6" w:space="0" w:color="D3DBE3"/>
          <w:left w:val="single" w:sz="6" w:space="0" w:color="D3DBE3"/>
          <w:bottom w:val="single" w:sz="6" w:space="0" w:color="D3DBE3"/>
          <w:right w:val="single" w:sz="6" w:space="0" w:color="D3DBE3"/>
          <w:insideH w:val="single" w:sz="6" w:space="0" w:color="D3DBE3"/>
          <w:insideV w:val="single" w:sz="6" w:space="0" w:color="D3DBE3"/>
        </w:tblBorders>
      </w:tblPr>
      <w:tblGrid>
        <w:gridCol w:w="2448"/>
        <w:gridCol w:w="2448"/>
        <w:gridCol w:w="2448"/>
        <w:gridCol w:w="2448"/>
      </w:tblGrid>
      <w:tr>
        <w:tc>
          <w:tcPr>
            <w:tcW w:type="dxa" w:w="1728"/>
            <w:shd w:val="clear" w:color="auto" w:fill="1F3A5F"/>
          </w:tcPr>
          <w:p>
            <w:pPr>
              <w:spacing w:before="40" w:after="40"/>
            </w:pPr>
            <w:r/>
            <w:r>
              <w:rPr>
                <w:rFonts w:ascii="Calibri" w:hAnsi="Calibri"/>
                <w:b/>
                <w:color w:val="FFFFFF"/>
                <w:sz w:val="19"/>
              </w:rPr>
              <w:t>Ambiente</w:t>
            </w:r>
          </w:p>
        </w:tc>
        <w:tc>
          <w:tcPr>
            <w:tcW w:type="dxa" w:w="3744"/>
            <w:shd w:val="clear" w:color="auto" w:fill="1F3A5F"/>
          </w:tcPr>
          <w:p>
            <w:pPr>
              <w:spacing w:before="40" w:after="40"/>
            </w:pPr>
            <w:r/>
            <w:r>
              <w:rPr>
                <w:rFonts w:ascii="Calibri" w:hAnsi="Calibri"/>
                <w:b/>
                <w:color w:val="FFFFFF"/>
                <w:sz w:val="19"/>
              </w:rPr>
              <w:t>Uso</w:t>
            </w:r>
          </w:p>
        </w:tc>
        <w:tc>
          <w:tcPr>
            <w:tcW w:type="dxa" w:w="2160"/>
            <w:shd w:val="clear" w:color="auto" w:fill="1F3A5F"/>
          </w:tcPr>
          <w:p>
            <w:pPr>
              <w:spacing w:before="40" w:after="40"/>
            </w:pPr>
            <w:r/>
            <w:r>
              <w:rPr>
                <w:rFonts w:ascii="Calibri" w:hAnsi="Calibri"/>
                <w:b/>
                <w:color w:val="FFFFFF"/>
                <w:sz w:val="19"/>
              </w:rPr>
              <w:t>Quién valida</w:t>
            </w:r>
          </w:p>
        </w:tc>
        <w:tc>
          <w:tcPr>
            <w:tcW w:type="dxa" w:w="2160"/>
            <w:shd w:val="clear" w:color="auto" w:fill="1F3A5F"/>
          </w:tcPr>
          <w:p>
            <w:pPr>
              <w:spacing w:before="40" w:after="40"/>
            </w:pPr>
            <w:r/>
            <w:r>
              <w:rPr>
                <w:rFonts w:ascii="Calibri" w:hAnsi="Calibri"/>
                <w:b/>
                <w:color w:val="FFFFFF"/>
                <w:sz w:val="19"/>
              </w:rPr>
              <w:t>Fecha comprometida</w:t>
            </w:r>
          </w:p>
        </w:tc>
      </w:tr>
      <w:tr>
        <w:tc>
          <w:tcPr>
            <w:tcW w:type="dxa" w:w="1728"/>
            <w:shd w:val="clear" w:color="auto" w:fill="F5F7F9"/>
          </w:tcPr>
          <w:p>
            <w:pPr>
              <w:spacing w:before="40" w:after="40"/>
            </w:pPr>
            <w:r/>
            <w:r>
              <w:rPr>
                <w:rFonts w:ascii="Calibri" w:hAnsi="Calibri"/>
                <w:b/>
                <w:color w:val="23303B"/>
                <w:sz w:val="19"/>
              </w:rPr>
              <w:t>Desarrollo</w:t>
            </w:r>
          </w:p>
        </w:tc>
        <w:tc>
          <w:tcPr>
            <w:tcW w:type="dxa" w:w="3744"/>
          </w:tcPr>
          <w:p>
            <w:pPr>
              <w:spacing w:before="40" w:after="40"/>
            </w:pPr>
            <w:r/>
            <w:r>
              <w:rPr>
                <w:rFonts w:ascii="Calibri" w:hAnsi="Calibri"/>
                <w:b w:val="0"/>
                <w:color w:val="23303B"/>
                <w:sz w:val="19"/>
              </w:rPr>
              <w:t>Construcción y pruebas internas</w:t>
            </w:r>
          </w:p>
        </w:tc>
        <w:tc>
          <w:tcPr>
            <w:tcW w:type="dxa" w:w="2160"/>
            <w:shd w:val="clear" w:color="auto" w:fill="FFFDF3"/>
          </w:tcPr>
          <w:p>
            <w:pPr>
              <w:spacing w:before="40" w:after="40"/>
            </w:pPr>
            <w:r/>
            <w:r>
              <w:rPr>
                <w:rFonts w:ascii="Calibri" w:hAnsi="Calibri"/>
                <w:b w:val="0"/>
                <w:color w:val="23303B"/>
                <w:sz w:val="19"/>
              </w:rPr>
              <w:t>Steps Consulting</w:t>
            </w:r>
          </w:p>
        </w:tc>
        <w:tc>
          <w:tcPr>
            <w:tcW w:type="dxa" w:w="2160"/>
            <w:shd w:val="clear" w:color="auto" w:fill="FFFDF3"/>
          </w:tcPr>
          <w:p>
            <w:pPr>
              <w:spacing w:before="40" w:after="40"/>
            </w:pPr>
            <w:r/>
            <w:r>
              <w:rPr>
                <w:rFonts w:ascii="Calibri" w:hAnsi="Calibri"/>
                <w:b w:val="0"/>
                <w:color w:val="23303B"/>
                <w:sz w:val="19"/>
              </w:rPr>
            </w:r>
          </w:p>
        </w:tc>
      </w:tr>
      <w:tr>
        <w:tc>
          <w:tcPr>
            <w:tcW w:type="dxa" w:w="1728"/>
            <w:shd w:val="clear" w:color="auto" w:fill="F5F7F9"/>
          </w:tcPr>
          <w:p>
            <w:pPr>
              <w:spacing w:before="40" w:after="40"/>
            </w:pPr>
            <w:r/>
            <w:r>
              <w:rPr>
                <w:rFonts w:ascii="Calibri" w:hAnsi="Calibri"/>
                <w:b/>
                <w:color w:val="23303B"/>
                <w:sz w:val="19"/>
              </w:rPr>
              <w:t>Demo</w:t>
            </w:r>
          </w:p>
        </w:tc>
        <w:tc>
          <w:tcPr>
            <w:tcW w:type="dxa" w:w="3744"/>
          </w:tcPr>
          <w:p>
            <w:pPr>
              <w:spacing w:before="40" w:after="40"/>
            </w:pPr>
            <w:r/>
            <w:r>
              <w:rPr>
                <w:rFonts w:ascii="Calibri" w:hAnsi="Calibri"/>
                <w:b w:val="0"/>
                <w:color w:val="23303B"/>
                <w:sz w:val="19"/>
              </w:rPr>
              <w:t>Validación funcional del cliente</w:t>
            </w:r>
          </w:p>
        </w:tc>
        <w:tc>
          <w:tcPr>
            <w:tcW w:type="dxa" w:w="2160"/>
            <w:shd w:val="clear" w:color="auto" w:fill="FFFDF3"/>
          </w:tcPr>
          <w:p>
            <w:pPr>
              <w:spacing w:before="40" w:after="40"/>
            </w:pPr>
            <w:r/>
            <w:r>
              <w:rPr>
                <w:rFonts w:ascii="Calibri" w:hAnsi="Calibri"/>
                <w:b w:val="0"/>
                <w:color w:val="23303B"/>
                <w:sz w:val="19"/>
              </w:rPr>
            </w:r>
          </w:p>
        </w:tc>
        <w:tc>
          <w:tcPr>
            <w:tcW w:type="dxa" w:w="2160"/>
            <w:shd w:val="clear" w:color="auto" w:fill="FFFDF3"/>
          </w:tcPr>
          <w:p>
            <w:pPr>
              <w:spacing w:before="40" w:after="40"/>
            </w:pPr>
            <w:r/>
            <w:r>
              <w:rPr>
                <w:rFonts w:ascii="Calibri" w:hAnsi="Calibri"/>
                <w:b w:val="0"/>
                <w:color w:val="23303B"/>
                <w:sz w:val="19"/>
              </w:rPr>
            </w:r>
          </w:p>
        </w:tc>
      </w:tr>
      <w:tr>
        <w:tc>
          <w:tcPr>
            <w:tcW w:type="dxa" w:w="1728"/>
            <w:shd w:val="clear" w:color="auto" w:fill="F5F7F9"/>
          </w:tcPr>
          <w:p>
            <w:pPr>
              <w:spacing w:before="40" w:after="40"/>
            </w:pPr>
            <w:r/>
            <w:r>
              <w:rPr>
                <w:rFonts w:ascii="Calibri" w:hAnsi="Calibri"/>
                <w:b/>
                <w:color w:val="23303B"/>
                <w:sz w:val="19"/>
              </w:rPr>
              <w:t>Demo-SyS</w:t>
            </w:r>
          </w:p>
        </w:tc>
        <w:tc>
          <w:tcPr>
            <w:tcW w:type="dxa" w:w="3744"/>
          </w:tcPr>
          <w:p>
            <w:pPr>
              <w:spacing w:before="40" w:after="40"/>
            </w:pPr>
            <w:r/>
            <w:r>
              <w:rPr>
                <w:rFonts w:ascii="Calibri" w:hAnsi="Calibri"/>
                <w:b w:val="0"/>
                <w:color w:val="23303B"/>
                <w:sz w:val="19"/>
              </w:rPr>
              <w:t>Validación de la empresa SyS</w:t>
            </w:r>
          </w:p>
        </w:tc>
        <w:tc>
          <w:tcPr>
            <w:tcW w:type="dxa" w:w="2160"/>
            <w:shd w:val="clear" w:color="auto" w:fill="FFFDF3"/>
          </w:tcPr>
          <w:p>
            <w:pPr>
              <w:spacing w:before="40" w:after="40"/>
            </w:pPr>
            <w:r/>
            <w:r>
              <w:rPr>
                <w:rFonts w:ascii="Calibri" w:hAnsi="Calibri"/>
                <w:b w:val="0"/>
                <w:color w:val="23303B"/>
                <w:sz w:val="19"/>
              </w:rPr>
            </w:r>
          </w:p>
        </w:tc>
        <w:tc>
          <w:tcPr>
            <w:tcW w:type="dxa" w:w="2160"/>
            <w:shd w:val="clear" w:color="auto" w:fill="FFFDF3"/>
          </w:tcPr>
          <w:p>
            <w:pPr>
              <w:spacing w:before="40" w:after="40"/>
            </w:pPr>
            <w:r/>
            <w:r>
              <w:rPr>
                <w:rFonts w:ascii="Calibri" w:hAnsi="Calibri"/>
                <w:b w:val="0"/>
                <w:color w:val="23303B"/>
                <w:sz w:val="19"/>
              </w:rPr>
            </w:r>
          </w:p>
        </w:tc>
      </w:tr>
    </w:tbl>
    <w:p>
      <w:pPr>
        <w:spacing w:after="40"/>
      </w:pPr>
    </w:p>
    <w:p>
      <w:pPr>
        <w:keepNext/>
        <w:spacing w:before="220" w:after="80"/>
      </w:pPr>
      <w:r>
        <w:rPr>
          <w:rFonts w:ascii="Calibri" w:hAnsi="Calibri"/>
          <w:b/>
          <w:color w:val="1F3A5F"/>
          <w:sz w:val="28"/>
        </w:rPr>
        <w:t>8. Cómo devolvernos esto</w:t>
      </w:r>
    </w:p>
    <w:p>
      <w:pPr>
        <w:pStyle w:val="ListBullet"/>
        <w:spacing w:after="60"/>
      </w:pPr>
      <w:r>
        <w:rPr>
          <w:rFonts w:ascii="Calibri" w:hAnsi="Calibri"/>
          <w:color w:val="23303B"/>
          <w:sz w:val="21"/>
        </w:rPr>
        <w:t>Complete las tablas de las secciones 3 a 7.</w:t>
      </w:r>
    </w:p>
    <w:p>
      <w:pPr>
        <w:pStyle w:val="ListBullet"/>
        <w:spacing w:after="60"/>
      </w:pPr>
      <w:r>
        <w:rPr>
          <w:rFonts w:ascii="Calibri" w:hAnsi="Calibri"/>
          <w:color w:val="23303B"/>
          <w:sz w:val="21"/>
        </w:rPr>
        <w:t>Adjunte, por cada banco, el manual del convenio y un archivo de ejemplo aprobado por el banco.</w:t>
      </w:r>
    </w:p>
    <w:p>
      <w:pPr>
        <w:pStyle w:val="ListBullet"/>
        <w:spacing w:after="60"/>
      </w:pPr>
      <w:r>
        <w:rPr>
          <w:rFonts w:ascii="Calibri" w:hAnsi="Calibri"/>
          <w:color w:val="23303B"/>
          <w:sz w:val="21"/>
        </w:rPr>
        <w:t>Si un banco todavía no tiene convenio firmado, indíquelo: ese banco queda fuera del alcance hasta que exista.</w:t>
      </w:r>
    </w:p>
    <w:p>
      <w:pPr>
        <w:pStyle w:val="ListBullet"/>
        <w:spacing w:after="60"/>
      </w:pPr>
      <w:r>
        <w:rPr>
          <w:rFonts w:ascii="Calibri" w:hAnsi="Calibri"/>
          <w:color w:val="23303B"/>
          <w:sz w:val="21"/>
        </w:rPr>
        <w:t>No hace falta esperar a tener los seis bancos: con la ficha y el archivo de ejemplo de uno solo podemos construir y probar ese adaptador por separado.</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570"/>
        <w:sz w:val="16"/>
      </w:rPr>
      <w:t>Steps App · Pagos por lotes · Información requerida · 30-08-2026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30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