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</w:p>
    <w:p>
      <w:pPr>
        <w:spacing w:after="80"/>
        <w:jc w:val="center"/>
      </w:pPr>
      <w:r>
        <w:rPr>
          <w:b/>
          <w:bCs/>
          <w:color w:val="0D9488"/>
          <w:sz w:val="48"/>
          <w:szCs w:val="48"/>
        </w:rPr>
        <w:t xml:space="preserve">NormaLis · Análisis Normativo</w:t>
      </w:r>
    </w:p>
    <w:p>
      <w:pPr>
        <w:spacing w:after="60"/>
        <w:jc w:val="center"/>
      </w:pPr>
      <w:r>
        <w:rPr>
          <w:b/>
          <w:bCs/>
          <w:color w:val="374151"/>
          <w:sz w:val="26"/>
          <w:szCs w:val="26"/>
        </w:rPr>
        <w:t xml:space="preserve">Resolución 1732/2026 vs Resolución 3100/2019</w:t>
      </w:r>
    </w:p>
    <w:p>
      <w:pPr>
        <w:spacing w:after="300"/>
        <w:jc w:val="center"/>
      </w:pPr>
      <w:r>
        <w:rPr>
          <w:i/>
          <w:iCs/>
          <w:color w:val="9CA3AF"/>
          <w:sz w:val="20"/>
          <w:szCs w:val="20"/>
        </w:rPr>
        <w:t xml:space="preserve">Agosto 2026 · Uso interno</w:t>
      </w:r>
    </w:p>
    <w:p>
      <w:pPr>
        <w:spacing w:after="200" w:before="80"/>
        <w:ind w:left="360" w:right="360"/>
      </w:pPr>
      <w:r>
        <w:rPr>
          <w:i/>
          <w:iCs/>
          <w:color w:val="B45309"/>
          <w:sz w:val="19"/>
          <w:szCs w:val="19"/>
        </w:rPr>
        <w:t xml:space="preserve">Nota: Este análisis se basa en el borrador oficial del nuevo Manual de Habilitación (Tomo I, julio 2026, MinSalud) y los datos confirmados sobre la Res. 1732/2026 firmada el 5 de agosto de 2026. Verificar el texto oficial en el Diario Oficial una vez publicado.</w:t>
      </w:r>
    </w:p>
    <w:p>
      <w:pPr>
        <w:pStyle w:val="Heading1"/>
        <w:spacing w:after="120" w:before="300"/>
      </w:pPr>
      <w:r>
        <w:t xml:space="preserve">1. Cuadro Comparativo: Res. 3100/2019 vs Res. 1732/2026</w:t>
      </w:r>
    </w:p>
    <w:p>
      <w:pPr>
        <w:spacing w:after="80"/>
      </w:pPr>
      <w:r>
        <w:rPr>
          <w:color w:val="374151"/>
          <w:sz w:val="21"/>
          <w:szCs w:val="21"/>
        </w:rPr>
        <w:t xml:space="preserve">Los cambios más relevantes. "NUEVO" = categorías inexistentes en Res. 3100. "Crítico" = implica acción inmediata.</w:t>
      </w:r>
    </w:p>
    <w:p>
      <w:pPr>
        <w:spacing w:after="0" w:before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2900"/>
        <w:gridCol w:w="1100"/>
      </w:tblGrid>
      <w:tr>
        <w:trPr>
          <w:tblHeader/>
        </w:trPr>
        <w:tc>
          <w:tcPr>
            <w:shd w:fill="0D948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shd w:fill="0D948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Res. 3100/2019</w:t>
            </w:r>
          </w:p>
        </w:tc>
        <w:tc>
          <w:tcPr>
            <w:shd w:fill="0D948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Res. 1732/2026</w:t>
            </w:r>
          </w:p>
        </w:tc>
        <w:tc>
          <w:tcPr>
            <w:shd w:fill="0D948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Estado normativo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Vigente (derogada c/transición 12 m.)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En vigor desde 5 agosto 2026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Estructura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7 estándares habilitación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7 estándares + Telemedicina (categ. autónoma) + Régimen Diferencial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Alto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Talento Humano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Perfiles por servicio + RETHUS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Idem + perfiles telesalud y extramural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Medio</w:t>
            </w:r>
          </w:p>
        </w:tc>
      </w:tr>
      <w:tr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Infraestructura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Requisitos físicos por servicio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Físicos + infraestructura digital (TIC, conectividad)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Alto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Dotación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Listados de equipos por servicio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Listados actualizados + dispositivos telemedicina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Medio</w:t>
            </w:r>
          </w:p>
        </w:tc>
      </w:tr>
      <w:tr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Medicamentos/Disp.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Gestión farmacéutica tradicional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Amplía: dispositivos médicos de telesalud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Medio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Procesos Prioritarios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Procesos clínicos por servicio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Idem + protocolos telesalud y régimen diferencial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Alto</w:t>
            </w:r>
          </w:p>
        </w:tc>
      </w:tr>
      <w:tr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Historia Clínica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Física o electrónica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HCE preferida; interoperabilidad requerida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Alto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Interdependencia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Servicios de apoyo por modalidad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Amplía: relaciones telemedicina ↔ presencial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Medio</w:t>
            </w:r>
          </w:p>
        </w:tc>
      </w:tr>
      <w:tr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Telemedicina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Modalidad dentro de servicios específicos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Categoría autónoma: sincrónica, asincrónica, telemonitoreo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0D9488"/>
                <w:sz w:val="19"/>
                <w:szCs w:val="19"/>
              </w:rPr>
              <w:t xml:space="preserve">NUEVO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Régimen Diferencial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No existía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IPS rurales/étnicas/fronterizas: requisitos simplificados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0D9488"/>
                <w:sz w:val="19"/>
                <w:szCs w:val="19"/>
              </w:rPr>
              <w:t xml:space="preserve">NUEVO</w:t>
            </w:r>
          </w:p>
        </w:tc>
      </w:tr>
      <w:tr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Extramural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Categoría existente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Reorganizado y ampliado con subcategorías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Medio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Códigos REPS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Códigos por servicio habilitado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Nuevos códigos para telemedicina y diferencial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Alto</w:t>
            </w:r>
          </w:p>
        </w:tc>
      </w:tr>
      <w:tr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Verificación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Secretarías de Salud — visita presencial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Idem + verificación documental digital</w:t>
            </w:r>
          </w:p>
        </w:tc>
        <w:tc>
          <w:tcPr>
            <w:shd w:fill="F9FAFB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Medio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374151"/>
                <w:sz w:val="19"/>
                <w:szCs w:val="19"/>
              </w:rPr>
              <w:t xml:space="preserve">Período de gracia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N/A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 w:val="false"/>
                <w:bCs w:val="false"/>
                <w:color w:val="374151"/>
                <w:sz w:val="19"/>
                <w:szCs w:val="19"/>
              </w:rPr>
              <w:t xml:space="preserve">12 meses → hasta 5 agosto 2027</w:t>
            </w:r>
          </w:p>
        </w:tc>
        <w:tc>
          <w:tcPr>
            <w:shd w:fill="FFFFFF" w:val="clear"/>
            <w:vAlign w:val="center"/>
          </w:tcPr>
          <w:p>
            <w:pPr>
              <w:spacing w:after="55" w:before="55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Crítico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300"/>
      </w:pPr>
      <w:r>
        <w:t xml:space="preserve">2. Plan de Acción NormaLis — 12 Meses de Transición</w:t>
      </w:r>
    </w:p>
    <w:p>
      <w:pPr>
        <w:spacing w:after="80"/>
      </w:pPr>
      <w:r>
        <w:rPr>
          <w:color w:val="374151"/>
          <w:sz w:val="21"/>
          <w:szCs w:val="21"/>
        </w:rPr>
        <w:t xml:space="preserve">Implementación incremental: cada paso agrega funcionalidad sin romper la operación existente bajo Res. 3100/2019.</w:t>
      </w:r>
    </w:p>
    <w:p>
      <w:pPr>
        <w:spacing w:after="0" w:before="180"/>
      </w:pPr>
    </w:p>
    <w:p>
      <w:pPr>
        <w:spacing w:after="60" w:before="100"/>
      </w:pPr>
      <w:r>
        <w:rPr>
          <w:b/>
          <w:bCs/>
          <w:color w:val="0D9488"/>
          <w:sz w:val="23"/>
          <w:szCs w:val="23"/>
        </w:rPr>
        <w:t xml:space="preserve">Paso 1 — Diagnóstico y modo dual  (Meses 1–2)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Activar banner de transición normativa en el dashboard de todos los usuarios activos.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Crear flag normativa_version en Firestore (valores: "3100" | "1732") para cada IPS.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Publicar FAQ y artículo de blog explicando los cambios clave.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Mantener toda la funcionalidad existente intacta — sin romper nada.</w:t>
      </w:r>
    </w:p>
    <w:p>
      <w:pPr>
        <w:spacing w:after="0" w:before="180"/>
      </w:pPr>
    </w:p>
    <w:p>
      <w:pPr>
        <w:spacing w:after="60" w:before="100"/>
      </w:pPr>
      <w:r>
        <w:rPr>
          <w:b/>
          <w:bCs/>
          <w:color w:val="0D9488"/>
          <w:sz w:val="23"/>
          <w:szCs w:val="23"/>
        </w:rPr>
        <w:t xml:space="preserve">Paso 2 — Actualización banco de preguntas y auditoría  (Meses 2–4)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Crear versión 1732 de areasDB (normalis-data-audit.js) con criterios actualizados.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Mantener versión 3100 — selector de versión permite elegir al usuario.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Actualizar normalis-chat.js con respuestas para los nuevos criterios.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Agregar preguntas específicas de Telemedicina y Régimen Diferencial.</w:t>
      </w:r>
    </w:p>
    <w:p>
      <w:pPr>
        <w:spacing w:after="0" w:before="180"/>
      </w:pPr>
    </w:p>
    <w:p>
      <w:pPr>
        <w:spacing w:after="60" w:before="100"/>
      </w:pPr>
      <w:r>
        <w:rPr>
          <w:b/>
          <w:bCs/>
          <w:color w:val="0D9488"/>
          <w:sz w:val="23"/>
          <w:szCs w:val="23"/>
        </w:rPr>
        <w:t xml:space="preserve">Paso 3 — Módulo de Brecha (Gap Analysis)  (Meses 3–6)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Nuevo módulo /dashboard/brechas: compara estado actual vs. criterios 1732.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Clasifica automáticamente: Cumple / Brecha / No Aplica por cada criterio.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Genera plan de trabajo priorizado con fechas de cierre recomendadas.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Exporta PDF del análisis para presentar a la Secretaría de Salud.</w:t>
      </w:r>
    </w:p>
    <w:p>
      <w:pPr>
        <w:spacing w:after="0" w:before="180"/>
      </w:pPr>
    </w:p>
    <w:p>
      <w:pPr>
        <w:spacing w:after="60" w:before="100"/>
      </w:pPr>
      <w:r>
        <w:rPr>
          <w:b/>
          <w:bCs/>
          <w:color w:val="0D9488"/>
          <w:sz w:val="23"/>
          <w:szCs w:val="23"/>
        </w:rPr>
        <w:t xml:space="preserve">Paso 4 — Plantillas, documentos y módulo Telemedicina  (Meses 5–8)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Actualizar generador de documentos con plantillas para Res. 1732/2026.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Crear módulo /dashboard/telemedicina: habilitación por tipo, dotación digital, HCE.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Nuevas plantillas: Protocolo de Telesalud, Consentimiento Informado Digital, Acta HCE.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Actualizar SG-SST con riesgos de infraestructura digital.</w:t>
      </w:r>
    </w:p>
    <w:p>
      <w:pPr>
        <w:spacing w:after="0" w:before="180"/>
      </w:pPr>
    </w:p>
    <w:p>
      <w:pPr>
        <w:spacing w:after="60" w:before="100"/>
      </w:pPr>
      <w:r>
        <w:rPr>
          <w:b/>
          <w:bCs/>
          <w:color w:val="0D9488"/>
          <w:sz w:val="23"/>
          <w:szCs w:val="23"/>
        </w:rPr>
        <w:t xml:space="preserve">Paso 5 — Migración total y cierre de transición  (Meses 8–12)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Notificar a usuarios con 90 días de anticipación al cierre (agosto 2027).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Migrar registros de auditoría activos a criterios 1732.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Actualizar catálogo de códigos REPS con nuevas categorías.</w:t>
      </w:r>
    </w:p>
    <w:p>
      <w:pPr>
        <w:spacing w:after="40" w:before="40"/>
        <w:ind w:left="360"/>
      </w:pPr>
      <w:r>
        <w:rPr>
          <w:b/>
          <w:bCs/>
          <w:color w:val="0D9488"/>
          <w:sz w:val="20"/>
          <w:szCs w:val="20"/>
        </w:rPr>
        <w:t xml:space="preserve">→  </w:t>
      </w:r>
      <w:r>
        <w:rPr>
          <w:color w:val="374151"/>
          <w:sz w:val="20"/>
          <w:szCs w:val="20"/>
        </w:rPr>
        <w:t xml:space="preserve">Deprecar módulos exclusivos de 3100; histórico en modo lectura.</w:t>
      </w:r>
    </w:p>
    <w:p>
      <w:pPr>
        <w:spacing w:after="0" w:before="200"/>
      </w:pPr>
    </w:p>
    <w:p>
      <w:pPr>
        <w:pStyle w:val="Heading1"/>
        <w:spacing w:after="120" w:before="300"/>
      </w:pPr>
      <w:r>
        <w:t xml:space="preserve">3. Comunicación a Usuarios</w:t>
      </w:r>
    </w:p>
    <w:p>
      <w:pPr>
        <w:spacing w:after="80"/>
      </w:pPr>
      <w:r>
        <w:rPr>
          <w:color w:val="374151"/>
          <w:sz w:val="21"/>
          <w:szCs w:val="21"/>
        </w:rPr>
        <w:t xml:space="preserve">Texto listo para enviar por correo electrónico o mostrar como mensaje in-app en el dashboard.</w:t>
      </w:r>
    </w:p>
    <w:p>
      <w:pPr>
        <w:spacing w:after="0" w:before="80"/>
      </w:pPr>
    </w:p>
    <w:p>
      <w:pPr>
        <w:spacing w:after="80" w:before="80"/>
        <w:jc w:val="center"/>
      </w:pPr>
      <w:r>
        <w:rPr>
          <w:b/>
          <w:bCs/>
          <w:color w:val="0D9488"/>
          <w:sz w:val="19"/>
          <w:szCs w:val="19"/>
        </w:rPr>
        <w:t xml:space="preserve">──── INICIO DEL MENSAJE ────</w:t>
      </w:r>
    </w:p>
    <w:p>
      <w:pPr>
        <w:spacing w:after="100" w:before="80"/>
      </w:pPr>
      <w:r>
        <w:rPr>
          <w:b/>
          <w:bCs/>
          <w:color w:val="374151"/>
          <w:sz w:val="21"/>
          <w:szCs w:val="21"/>
        </w:rPr>
        <w:t xml:space="preserve">Asunto: </w:t>
      </w:r>
      <w:r>
        <w:rPr>
          <w:b/>
          <w:bCs/>
          <w:color w:val="374151"/>
          <w:sz w:val="21"/>
          <w:szCs w:val="21"/>
        </w:rPr>
        <w:t xml:space="preserve">NormaLis — Cambio normativo: Res. 1732/2026 reemplaza la Res. 3100/2019</w:t>
      </w:r>
    </w:p>
    <w:p>
      <w:pPr>
        <w:spacing w:after="80"/>
      </w:pPr>
      <w:r>
        <w:rPr>
          <w:color w:val="374151"/>
          <w:sz w:val="21"/>
          <w:szCs w:val="21"/>
        </w:rPr>
        <w:t xml:space="preserve">Estimado equipo de [Nombre IPS]:</w:t>
      </w:r>
    </w:p>
    <w:p>
      <w:pPr>
        <w:spacing w:after="0" w:before="80"/>
      </w:pPr>
    </w:p>
    <w:p>
      <w:pPr>
        <w:spacing w:after="80"/>
      </w:pPr>
      <w:r>
        <w:rPr>
          <w:color w:val="374151"/>
          <w:sz w:val="21"/>
          <w:szCs w:val="21"/>
        </w:rPr>
        <w:t xml:space="preserve">Con fecha 5 de agosto de 2026, el Ministerio de Salud y Protección Social expidió la Resolución 1732 de 2026, que deroga y reemplaza integralmente la Resolución 3100 de 2019 — marco normativo base del Sistema Único de Habilitación en Colombia.</w:t>
      </w:r>
    </w:p>
    <w:p>
      <w:pPr>
        <w:spacing w:after="0" w:before="60"/>
      </w:pPr>
    </w:p>
    <w:p>
      <w:pPr>
        <w:spacing w:after="50" w:before="100"/>
      </w:pPr>
      <w:r>
        <w:rPr>
          <w:b/>
          <w:bCs/>
          <w:color w:val="0D9488"/>
          <w:sz w:val="22"/>
          <w:szCs w:val="22"/>
        </w:rPr>
        <w:t xml:space="preserve">¿Qué cambia?</w:t>
      </w:r>
    </w:p>
    <w:p>
      <w:pPr>
        <w:spacing w:after="80"/>
      </w:pPr>
      <w:r>
        <w:rPr>
          <w:color w:val="374151"/>
          <w:sz w:val="21"/>
          <w:szCs w:val="21"/>
        </w:rPr>
        <w:t xml:space="preserve">La nueva resolución mantiene los 7 estándares de habilitación, pero introduce tres grandes novedades: (1) la Telemedicina como categoría autónoma con tres tipos — sincrónica, asincrónica y telemonitoreo; (2) un Régimen Diferencial con requisitos simplificados para IPS rurales, étnicas y fronterizas; y (3) criterios actualizados de infraestructura digital e Historia Clínica Electrónica con interoperabilidad requerida.</w:t>
      </w:r>
    </w:p>
    <w:p>
      <w:pPr>
        <w:spacing w:after="50" w:before="100"/>
      </w:pPr>
      <w:r>
        <w:rPr>
          <w:b/>
          <w:bCs/>
          <w:color w:val="0D9488"/>
          <w:sz w:val="22"/>
          <w:szCs w:val="22"/>
        </w:rPr>
        <w:t xml:space="preserve">¿Cómo afecta a su IPS?</w:t>
      </w:r>
    </w:p>
    <w:p>
      <w:pPr>
        <w:spacing w:after="80"/>
      </w:pPr>
      <w:r>
        <w:rPr>
          <w:color w:val="374151"/>
          <w:sz w:val="21"/>
          <w:szCs w:val="21"/>
        </w:rPr>
        <w:t xml:space="preserve">El Ministerio otorgó un período de transición de 12 meses — hasta el 5 de agosto de 2027 — durante el cual su IPS puede continuar operando bajo Res. 3100/2019 mientras adapta su documentación y procesos. No hay sanción por operar bajo la norma anterior durante este período.</w:t>
      </w:r>
    </w:p>
    <w:p>
      <w:pPr>
        <w:spacing w:after="50" w:before="100"/>
      </w:pPr>
      <w:r>
        <w:rPr>
          <w:b/>
          <w:bCs/>
          <w:color w:val="0D9488"/>
          <w:sz w:val="22"/>
          <w:szCs w:val="22"/>
        </w:rPr>
        <w:t xml:space="preserve">¿Qué hace NormaLis por usted?</w:t>
      </w:r>
    </w:p>
    <w:p>
      <w:pPr>
        <w:spacing w:after="80"/>
      </w:pPr>
      <w:r>
        <w:rPr>
          <w:color w:val="374151"/>
          <w:sz w:val="21"/>
          <w:szCs w:val="21"/>
        </w:rPr>
        <w:t xml:space="preserve">Estamos actualizando la plataforma para acompañarle en cada paso. En los próximos meses encontrará:</w:t>
      </w:r>
    </w:p>
    <w:p>
      <w:pPr>
        <w:spacing w:after="40" w:before="40"/>
        <w:ind w:left="480"/>
      </w:pPr>
      <w:r>
        <w:rPr>
          <w:b/>
          <w:bCs/>
          <w:color w:val="0D9488"/>
          <w:sz w:val="20"/>
          <w:szCs w:val="20"/>
        </w:rPr>
        <w:t xml:space="preserve">✓  </w:t>
      </w:r>
      <w:r>
        <w:rPr>
          <w:color w:val="374151"/>
          <w:sz w:val="20"/>
          <w:szCs w:val="20"/>
        </w:rPr>
        <w:t xml:space="preserve">Módulo de Gap Analysis: compare su estado actual vs. los nuevos criterios 1732.</w:t>
      </w:r>
    </w:p>
    <w:p>
      <w:pPr>
        <w:spacing w:after="40" w:before="40"/>
        <w:ind w:left="480"/>
      </w:pPr>
      <w:r>
        <w:rPr>
          <w:b/>
          <w:bCs/>
          <w:color w:val="0D9488"/>
          <w:sz w:val="20"/>
          <w:szCs w:val="20"/>
        </w:rPr>
        <w:t xml:space="preserve">✓  </w:t>
      </w:r>
      <w:r>
        <w:rPr>
          <w:color w:val="374151"/>
          <w:sz w:val="20"/>
          <w:szCs w:val="20"/>
        </w:rPr>
        <w:t xml:space="preserve">Checklists de auditoría actualizadas con los nuevos estándares.</w:t>
      </w:r>
    </w:p>
    <w:p>
      <w:pPr>
        <w:spacing w:after="40" w:before="40"/>
        <w:ind w:left="480"/>
      </w:pPr>
      <w:r>
        <w:rPr>
          <w:b/>
          <w:bCs/>
          <w:color w:val="0D9488"/>
          <w:sz w:val="20"/>
          <w:szCs w:val="20"/>
        </w:rPr>
        <w:t xml:space="preserve">✓  </w:t>
      </w:r>
      <w:r>
        <w:rPr>
          <w:color w:val="374151"/>
          <w:sz w:val="20"/>
          <w:szCs w:val="20"/>
        </w:rPr>
        <w:t xml:space="preserve">Módulo de Telemedicina: gestión de los tres tipos de teleconsulta.</w:t>
      </w:r>
    </w:p>
    <w:p>
      <w:pPr>
        <w:spacing w:after="40" w:before="40"/>
        <w:ind w:left="480"/>
      </w:pPr>
      <w:r>
        <w:rPr>
          <w:b/>
          <w:bCs/>
          <w:color w:val="0D9488"/>
          <w:sz w:val="20"/>
          <w:szCs w:val="20"/>
        </w:rPr>
        <w:t xml:space="preserve">✓  </w:t>
      </w:r>
      <w:r>
        <w:rPr>
          <w:color w:val="374151"/>
          <w:sz w:val="20"/>
          <w:szCs w:val="20"/>
        </w:rPr>
        <w:t xml:space="preserve">Nuevas plantillas de documentos normativos (protocolos, consentimientos, actas HCE).</w:t>
      </w:r>
    </w:p>
    <w:p>
      <w:pPr>
        <w:spacing w:after="40" w:before="40"/>
        <w:ind w:left="480"/>
      </w:pPr>
      <w:r>
        <w:rPr>
          <w:b/>
          <w:bCs/>
          <w:color w:val="0D9488"/>
          <w:sz w:val="20"/>
          <w:szCs w:val="20"/>
        </w:rPr>
        <w:t xml:space="preserve">✓  </w:t>
      </w:r>
      <w:r>
        <w:rPr>
          <w:color w:val="374151"/>
          <w:sz w:val="20"/>
          <w:szCs w:val="20"/>
        </w:rPr>
        <w:t xml:space="preserve">Notificaciones automáticas con los hitos del período de transición.</w:t>
      </w:r>
    </w:p>
    <w:p>
      <w:pPr>
        <w:spacing w:after="0" w:before="100"/>
      </w:pPr>
    </w:p>
    <w:p>
      <w:pPr>
        <w:spacing w:after="80"/>
      </w:pPr>
      <w:r>
        <w:rPr>
          <w:color w:val="374151"/>
          <w:sz w:val="21"/>
          <w:szCs w:val="21"/>
        </w:rPr>
        <w:t xml:space="preserve">Acción recomendada hoy: continúe operando con normalidad. No necesita hacer ningún cambio urgente. Le avisaremos cuando cada módulo esté disponible.</w:t>
      </w:r>
    </w:p>
    <w:p>
      <w:pPr>
        <w:spacing w:after="0" w:before="80"/>
      </w:pPr>
    </w:p>
    <w:p>
      <w:pPr>
        <w:spacing w:after="80"/>
      </w:pPr>
      <w:r>
        <w:rPr>
          <w:color w:val="374151"/>
          <w:sz w:val="21"/>
          <w:szCs w:val="21"/>
        </w:rPr>
        <w:t xml:space="preserve">Para dudas, escríbanos a soporte@normalis.co</w:t>
      </w:r>
    </w:p>
    <w:p>
      <w:pPr>
        <w:spacing w:after="0" w:before="80"/>
      </w:pPr>
    </w:p>
    <w:p>
      <w:pPr>
        <w:spacing w:after="40" w:before="80"/>
      </w:pPr>
      <w:r>
        <w:rPr>
          <w:b/>
          <w:bCs/>
          <w:color w:val="374151"/>
          <w:sz w:val="21"/>
          <w:szCs w:val="21"/>
        </w:rPr>
        <w:t xml:space="preserve">Atentamente,
Equipo NormaLis</w:t>
      </w:r>
    </w:p>
    <w:p>
      <w:pPr>
        <w:spacing w:after="80" w:before="80"/>
        <w:jc w:val="center"/>
      </w:pPr>
      <w:r>
        <w:rPr>
          <w:b/>
          <w:bCs/>
          <w:color w:val="0D9488"/>
          <w:sz w:val="19"/>
          <w:szCs w:val="19"/>
        </w:rPr>
        <w:t xml:space="preserve">──── FIN DEL MENSAJE ────</w:t>
      </w:r>
    </w:p>
    <w:p>
      <w:pPr>
        <w:spacing w:after="0" w:before="200"/>
      </w:pPr>
    </w:p>
    <w:p>
      <w:pPr>
        <w:jc w:val="center"/>
      </w:pPr>
      <w:r>
        <w:rPr>
          <w:i/>
          <w:iCs/>
          <w:color w:val="9CA3AF"/>
          <w:sz w:val="17"/>
          <w:szCs w:val="17"/>
        </w:rPr>
        <w:t xml:space="preserve">normalis.co · soporte@normalis.co · Agosto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2026-08-06T15:37:41.495Z</dcterms:created>
  <dcterms:modified xsi:type="dcterms:W3CDTF">2026-08-06T15:37:41.496Z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