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Declaration of AI use</w:t>
      </w:r>
    </w:p>
    <w:p>
      <w:r>
        <w:t>From Cultivation to Care: Edge IoT, Digital Supervision and Mobile Interfaces for Medicinal-Plant Traceability</w:t>
      </w:r>
    </w:p>
    <w:p>
      <w:pPr>
        <w:pStyle w:val="Heading2"/>
      </w:pPr>
      <w:r>
        <w:t>Manuscript preparation</w:t>
      </w:r>
    </w:p>
    <w:p>
      <w:r>
        <w:t>During preparation of the manuscript and submission materials, OpenAI Codex was used to assist with restructuring and editing the abstract, adapting the presentation to the target journal, preparing LaTeX and submission files, and drafting an explanatory architecture diagram. Interface screenshots were captured from the demonstrators without generative modification. The authors are responsible for reviewing and verifying the resulting text and take full responsibility for the content of the article. The local language models evaluated as research components are described separately in the Methods section.</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 of AI use</dc:title>
  <dc:subject/>
  <dc:creator>Francisco-Javier Ferrández-Pastor</dc:creator>
  <cp:keywords/>
  <dc:description>generated by python-docx</dc:description>
  <cp:lastModifiedBy/>
  <cp:revision>1</cp:revision>
  <dcterms:created xsi:type="dcterms:W3CDTF">2013-12-23T23:15:00Z</dcterms:created>
  <dcterms:modified xsi:type="dcterms:W3CDTF">2013-12-23T23:15:00Z</dcterms:modified>
  <cp:category/>
</cp:coreProperties>
</file>