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8AE" w:rsidRDefault="00184BAE" w:rsidP="00184BAE">
      <w:pPr>
        <w:jc w:val="center"/>
        <w:rPr>
          <w:rFonts w:ascii="Times New Roman" w:hAnsi="Times New Roman" w:cs="Times New Roman"/>
          <w:b/>
        </w:rPr>
      </w:pPr>
      <w:r w:rsidRPr="00184BAE">
        <w:rPr>
          <w:rFonts w:ascii="Times New Roman" w:hAnsi="Times New Roman" w:cs="Times New Roman"/>
          <w:b/>
        </w:rPr>
        <w:t>BUDGET JUSTIFICATION</w:t>
      </w:r>
    </w:p>
    <w:p w:rsidR="004447BF" w:rsidRDefault="004447BF" w:rsidP="00184B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Illinois Institute of Technology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Personnel</w:t>
      </w:r>
    </w:p>
    <w:p w:rsidR="006E789A" w:rsidRDefault="006E789A" w:rsidP="00184BA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E789A" w:rsidRDefault="006E789A" w:rsidP="00184BAE">
      <w:pPr>
        <w:jc w:val="both"/>
        <w:rPr>
          <w:rFonts w:ascii="Times New Roman" w:hAnsi="Times New Roman" w:cs="Times New Roman"/>
        </w:rPr>
      </w:pPr>
    </w:p>
    <w:p w:rsidR="006E789A" w:rsidRPr="006E789A" w:rsidRDefault="006E789A" w:rsidP="00184BAE">
      <w:pPr>
        <w:jc w:val="both"/>
        <w:rPr>
          <w:rFonts w:ascii="Times New Roman" w:hAnsi="Times New Roman" w:cs="Times New Roman"/>
          <w:i/>
        </w:rPr>
      </w:pPr>
      <w:r w:rsidRPr="006E789A">
        <w:rPr>
          <w:rFonts w:ascii="Times New Roman" w:hAnsi="Times New Roman" w:cs="Times New Roman"/>
          <w:i/>
        </w:rPr>
        <w:t>Note: For purposes of NSF PAPPG section II.C.2.g(i)(a), the term “year” at Illinois Institute of Technology refers to IIT’s fiscal year (June 1 – May 31).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 Personnel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Fringe Benefits</w:t>
      </w:r>
    </w:p>
    <w:p w:rsidR="00D26B62" w:rsidRDefault="00687DED" w:rsidP="00184BAE">
      <w:pPr>
        <w:jc w:val="both"/>
        <w:rPr>
          <w:rFonts w:ascii="Times New Roman" w:hAnsi="Times New Roman" w:cs="Times New Roman"/>
        </w:rPr>
      </w:pPr>
      <w:r w:rsidRPr="00687DED">
        <w:rPr>
          <w:rFonts w:ascii="Times New Roman" w:hAnsi="Times New Roman" w:cs="Times New Roman"/>
        </w:rPr>
        <w:t>IIT’s federally negotiated fringe benefit rates are: faculty academic salary, 2</w:t>
      </w:r>
      <w:r w:rsidR="008547FA">
        <w:rPr>
          <w:rFonts w:ascii="Times New Roman" w:hAnsi="Times New Roman" w:cs="Times New Roman"/>
        </w:rPr>
        <w:t>2.4</w:t>
      </w:r>
      <w:r w:rsidRPr="00687DED">
        <w:rPr>
          <w:rFonts w:ascii="Times New Roman" w:hAnsi="Times New Roman" w:cs="Times New Roman"/>
        </w:rPr>
        <w:t xml:space="preserve">%; faculty summer </w:t>
      </w:r>
      <w:r w:rsidR="008547FA">
        <w:rPr>
          <w:rFonts w:ascii="Times New Roman" w:hAnsi="Times New Roman" w:cs="Times New Roman"/>
        </w:rPr>
        <w:t>salary, 7.7%; staff salary, 26.1</w:t>
      </w:r>
      <w:r w:rsidRPr="00687DED">
        <w:rPr>
          <w:rFonts w:ascii="Times New Roman" w:hAnsi="Times New Roman" w:cs="Times New Roman"/>
        </w:rPr>
        <w:t>%; and student stipends, 0.0%.</w:t>
      </w:r>
    </w:p>
    <w:p w:rsidR="00D26B62" w:rsidRDefault="00D26B62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Equipment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Travel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Participant Support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 Direct Costs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Materials and Supplies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Publications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Consultant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Computer (ADPE) Services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Subcontractor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Tuition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Other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Indirect Costs</w:t>
      </w:r>
    </w:p>
    <w:p w:rsidR="00184BAE" w:rsidRDefault="009F5985" w:rsidP="009F5985">
      <w:pPr>
        <w:jc w:val="both"/>
        <w:rPr>
          <w:rFonts w:ascii="Times New Roman" w:hAnsi="Times New Roman" w:cs="Times New Roman"/>
        </w:rPr>
      </w:pPr>
      <w:r w:rsidRPr="009F5985">
        <w:rPr>
          <w:rFonts w:ascii="Times New Roman" w:hAnsi="Times New Roman" w:cs="Times New Roman"/>
        </w:rPr>
        <w:t>IIT’s current federally negotiated indir</w:t>
      </w:r>
      <w:r w:rsidR="00381C1C">
        <w:rPr>
          <w:rFonts w:ascii="Times New Roman" w:hAnsi="Times New Roman" w:cs="Times New Roman"/>
        </w:rPr>
        <w:t xml:space="preserve">ect cost rate (agreement date </w:t>
      </w:r>
      <w:r w:rsidR="008547FA">
        <w:rPr>
          <w:rFonts w:ascii="Times New Roman" w:hAnsi="Times New Roman" w:cs="Times New Roman"/>
        </w:rPr>
        <w:t>04/30/2021</w:t>
      </w:r>
      <w:r w:rsidRPr="009F5985">
        <w:rPr>
          <w:rFonts w:ascii="Times New Roman" w:hAnsi="Times New Roman" w:cs="Times New Roman"/>
        </w:rPr>
        <w:t>) is 5</w:t>
      </w:r>
      <w:r w:rsidR="006E789A">
        <w:rPr>
          <w:rFonts w:ascii="Times New Roman" w:hAnsi="Times New Roman" w:cs="Times New Roman"/>
        </w:rPr>
        <w:t>4</w:t>
      </w:r>
      <w:r w:rsidRPr="009F5985">
        <w:rPr>
          <w:rFonts w:ascii="Times New Roman" w:hAnsi="Times New Roman" w:cs="Times New Roman"/>
        </w:rPr>
        <w:t xml:space="preserve">% of modified total direct costs (MTDC). MTDC include all salaries and wages, fringe benefits, materials, supplies, services, travel and up to the first $25,000 of each subaward. MTDC excludes equipment, </w:t>
      </w:r>
      <w:r w:rsidR="0030641F">
        <w:rPr>
          <w:rFonts w:ascii="Times New Roman" w:hAnsi="Times New Roman" w:cs="Times New Roman"/>
        </w:rPr>
        <w:t xml:space="preserve">participant support, </w:t>
      </w:r>
      <w:r w:rsidRPr="009F5985">
        <w:rPr>
          <w:rFonts w:ascii="Times New Roman" w:hAnsi="Times New Roman" w:cs="Times New Roman"/>
        </w:rPr>
        <w:t>capital expenditures, student tuition, rental costs of off-site facilities, as well as the portion of each subaward in excess of $25,000.</w:t>
      </w:r>
    </w:p>
    <w:p w:rsidR="000D42EC" w:rsidRDefault="000D42EC" w:rsidP="009F598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12"/>
        <w:gridCol w:w="1312"/>
        <w:gridCol w:w="1312"/>
        <w:gridCol w:w="1206"/>
        <w:gridCol w:w="1292"/>
        <w:gridCol w:w="1391"/>
      </w:tblGrid>
      <w:tr w:rsidR="00C800AA" w:rsidTr="00C800AA">
        <w:tc>
          <w:tcPr>
            <w:tcW w:w="1525" w:type="dxa"/>
          </w:tcPr>
          <w:p w:rsidR="00C800AA" w:rsidRDefault="00C800AA" w:rsidP="009F598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1312" w:type="dxa"/>
          </w:tcPr>
          <w:p w:rsidR="00C800AA" w:rsidRDefault="00C800AA" w:rsidP="000D4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1312" w:type="dxa"/>
          </w:tcPr>
          <w:p w:rsidR="00C800AA" w:rsidRDefault="00C800AA" w:rsidP="000D4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1206" w:type="dxa"/>
          </w:tcPr>
          <w:p w:rsidR="00C800AA" w:rsidRDefault="00C800AA" w:rsidP="000D4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Y4</w:t>
            </w:r>
          </w:p>
        </w:tc>
        <w:tc>
          <w:tcPr>
            <w:tcW w:w="1292" w:type="dxa"/>
          </w:tcPr>
          <w:p w:rsidR="00C800AA" w:rsidRDefault="00C800AA" w:rsidP="000D4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Y5</w:t>
            </w:r>
          </w:p>
        </w:tc>
        <w:tc>
          <w:tcPr>
            <w:tcW w:w="1391" w:type="dxa"/>
          </w:tcPr>
          <w:p w:rsidR="00C800AA" w:rsidRDefault="00C800AA" w:rsidP="000D4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C800AA" w:rsidTr="00C800AA">
        <w:tc>
          <w:tcPr>
            <w:tcW w:w="1525" w:type="dxa"/>
          </w:tcPr>
          <w:p w:rsidR="00C800AA" w:rsidRDefault="00C800AA" w:rsidP="009F59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Costs</w:t>
            </w: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C800AA" w:rsidTr="00C800AA">
        <w:tc>
          <w:tcPr>
            <w:tcW w:w="1525" w:type="dxa"/>
          </w:tcPr>
          <w:p w:rsidR="00C800AA" w:rsidRDefault="00C800AA" w:rsidP="009F59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Indirect Costs</w:t>
            </w: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C800AA" w:rsidTr="00C800AA">
        <w:tc>
          <w:tcPr>
            <w:tcW w:w="1525" w:type="dxa"/>
          </w:tcPr>
          <w:p w:rsidR="00C800AA" w:rsidRDefault="00C800AA" w:rsidP="009F59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Costs</w:t>
            </w: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1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:rsidR="00C800AA" w:rsidRDefault="00C800AA" w:rsidP="000D42EC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C800AA" w:rsidTr="00C800AA">
        <w:tc>
          <w:tcPr>
            <w:tcW w:w="1525" w:type="dxa"/>
          </w:tcPr>
          <w:p w:rsidR="00C800AA" w:rsidRPr="000D42EC" w:rsidRDefault="00C800AA" w:rsidP="009F5985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Modified Base</w:t>
            </w:r>
          </w:p>
        </w:tc>
        <w:tc>
          <w:tcPr>
            <w:tcW w:w="1312" w:type="dxa"/>
          </w:tcPr>
          <w:p w:rsidR="00C800AA" w:rsidRPr="000D42EC" w:rsidRDefault="00C800AA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12" w:type="dxa"/>
          </w:tcPr>
          <w:p w:rsidR="00C800AA" w:rsidRPr="000D42EC" w:rsidRDefault="00C800AA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12" w:type="dxa"/>
          </w:tcPr>
          <w:p w:rsidR="00C800AA" w:rsidRPr="000D42EC" w:rsidRDefault="00C800AA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06" w:type="dxa"/>
          </w:tcPr>
          <w:p w:rsidR="00C800AA" w:rsidRPr="000D42EC" w:rsidRDefault="00C800AA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2" w:type="dxa"/>
          </w:tcPr>
          <w:p w:rsidR="00C800AA" w:rsidRPr="000D42EC" w:rsidRDefault="00C800AA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91" w:type="dxa"/>
          </w:tcPr>
          <w:p w:rsidR="00C800AA" w:rsidRPr="000D42EC" w:rsidRDefault="00C800AA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</w:tbl>
    <w:p w:rsidR="000D42EC" w:rsidRDefault="000D42EC" w:rsidP="009F5985">
      <w:pPr>
        <w:jc w:val="both"/>
        <w:rPr>
          <w:rFonts w:ascii="Times New Roman" w:hAnsi="Times New Roman" w:cs="Times New Roman"/>
        </w:rPr>
      </w:pPr>
    </w:p>
    <w:p w:rsidR="000D42EC" w:rsidRDefault="000D42EC" w:rsidP="009F5985">
      <w:pPr>
        <w:jc w:val="both"/>
        <w:rPr>
          <w:rFonts w:ascii="Times New Roman" w:hAnsi="Times New Roman" w:cs="Times New Roman"/>
        </w:rPr>
      </w:pPr>
    </w:p>
    <w:p w:rsidR="000D42EC" w:rsidRPr="00184BAE" w:rsidRDefault="000D42EC" w:rsidP="009F5985">
      <w:pPr>
        <w:jc w:val="both"/>
        <w:rPr>
          <w:rFonts w:ascii="Times New Roman" w:hAnsi="Times New Roman" w:cs="Times New Roman"/>
        </w:rPr>
      </w:pPr>
    </w:p>
    <w:sectPr w:rsidR="000D42EC" w:rsidRPr="00184B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249" w:rsidRDefault="002D5249" w:rsidP="007C5042">
      <w:r>
        <w:separator/>
      </w:r>
    </w:p>
  </w:endnote>
  <w:endnote w:type="continuationSeparator" w:id="0">
    <w:p w:rsidR="002D5249" w:rsidRDefault="002D5249" w:rsidP="007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42" w:rsidRPr="007C5042" w:rsidRDefault="007C5042" w:rsidP="007C5042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 w:rsidR="008547FA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249" w:rsidRDefault="002D5249" w:rsidP="007C5042">
      <w:r>
        <w:separator/>
      </w:r>
    </w:p>
  </w:footnote>
  <w:footnote w:type="continuationSeparator" w:id="0">
    <w:p w:rsidR="002D5249" w:rsidRDefault="002D5249" w:rsidP="007C5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AE"/>
    <w:rsid w:val="00005C94"/>
    <w:rsid w:val="000A0B91"/>
    <w:rsid w:val="000B5A03"/>
    <w:rsid w:val="000D42EC"/>
    <w:rsid w:val="00184BAE"/>
    <w:rsid w:val="002768AE"/>
    <w:rsid w:val="002D5249"/>
    <w:rsid w:val="0030641F"/>
    <w:rsid w:val="00325D70"/>
    <w:rsid w:val="00381C1C"/>
    <w:rsid w:val="004447BF"/>
    <w:rsid w:val="00687DED"/>
    <w:rsid w:val="006E789A"/>
    <w:rsid w:val="007C5042"/>
    <w:rsid w:val="00822299"/>
    <w:rsid w:val="008547FA"/>
    <w:rsid w:val="009506EA"/>
    <w:rsid w:val="00976E52"/>
    <w:rsid w:val="009F5985"/>
    <w:rsid w:val="00BF3A79"/>
    <w:rsid w:val="00C800AA"/>
    <w:rsid w:val="00CA6C90"/>
    <w:rsid w:val="00D26B62"/>
    <w:rsid w:val="00D57391"/>
    <w:rsid w:val="00DE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62B2"/>
  <w15:docId w15:val="{8425D658-174E-40C5-98F1-C0A363DD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042"/>
  </w:style>
  <w:style w:type="paragraph" w:styleId="Footer">
    <w:name w:val="footer"/>
    <w:basedOn w:val="Normal"/>
    <w:link w:val="FooterChar"/>
    <w:uiPriority w:val="99"/>
    <w:unhideWhenUsed/>
    <w:rsid w:val="007C5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042"/>
  </w:style>
  <w:style w:type="paragraph" w:styleId="ListParagraph">
    <w:name w:val="List Paragraph"/>
    <w:basedOn w:val="Normal"/>
    <w:uiPriority w:val="34"/>
    <w:qFormat/>
    <w:rsid w:val="000D42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42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2EC"/>
    <w:rPr>
      <w:vertAlign w:val="superscript"/>
    </w:rPr>
  </w:style>
  <w:style w:type="table" w:styleId="TableGrid">
    <w:name w:val="Table Grid"/>
    <w:basedOn w:val="TableNormal"/>
    <w:uiPriority w:val="59"/>
    <w:rsid w:val="000D4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FDEF-2C26-485E-BA06-E8DF7213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Robert Lapointe</cp:lastModifiedBy>
  <cp:revision>4</cp:revision>
  <dcterms:created xsi:type="dcterms:W3CDTF">2021-01-16T20:52:00Z</dcterms:created>
  <dcterms:modified xsi:type="dcterms:W3CDTF">2021-07-12T21:00:00Z</dcterms:modified>
</cp:coreProperties>
</file>