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CC317" w14:textId="344F98D1" w:rsidR="00703254" w:rsidRDefault="00703254" w:rsidP="00703254">
      <w:pPr>
        <w:pStyle w:val="berschrift1"/>
      </w:pPr>
      <w:r>
        <w:t>Von der Kunst, Böhme zu lesen</w:t>
      </w:r>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40334B">
      <w:pPr>
        <w:pStyle w:val="berschrift1"/>
      </w:pPr>
      <w:r>
        <w:t>Von der Kunst, Dylan zu hören</w:t>
      </w:r>
    </w:p>
    <w:p w14:paraId="5E4905B3" w14:textId="77777777" w:rsidR="0040334B" w:rsidRDefault="0040334B" w:rsidP="0040334B">
      <w:pPr>
        <w:jc w:val="both"/>
      </w:pPr>
    </w:p>
    <w:p w14:paraId="326C9013" w14:textId="1282A6B1" w:rsidR="0040334B" w:rsidRDefault="0040334B" w:rsidP="0040334B">
      <w:pPr>
        <w:jc w:val="both"/>
      </w:pPr>
      <w:r>
        <w:t>Es ist offensichtlich, da</w:t>
      </w:r>
      <w:r>
        <w:t>ss</w:t>
      </w:r>
      <w:r>
        <w:t xml:space="preserve">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t>
      </w:r>
      <w:r>
        <w:t xml:space="preserve">wäre </w:t>
      </w:r>
      <w:r w:rsidRPr="0040334B">
        <w:rPr>
          <w:b/>
        </w:rPr>
        <w:t>wie der Künstler</w:t>
      </w:r>
      <w:r>
        <w:t>.</w:t>
      </w:r>
    </w:p>
    <w:p w14:paraId="7168C99B" w14:textId="77777777" w:rsidR="0040334B" w:rsidRDefault="0040334B" w:rsidP="0040334B">
      <w:pPr>
        <w:jc w:val="both"/>
      </w:pPr>
      <w:r>
        <w:t xml:space="preserve">Auf den Punkt gebracht lautet diese Verfassung:  </w:t>
      </w:r>
    </w:p>
    <w:p w14:paraId="5C0B4235" w14:textId="6BDB69F3" w:rsidR="0040334B" w:rsidRDefault="0040334B" w:rsidP="0040334B">
      <w:pPr>
        <w:jc w:val="both"/>
      </w:pPr>
      <w:r w:rsidRPr="0040334B">
        <w:rPr>
          <w:b/>
        </w:rPr>
        <w:t>Ich bin nicht da</w:t>
      </w:r>
      <w:r>
        <w:t xml:space="preserve">;  </w:t>
      </w:r>
    </w:p>
    <w:p w14:paraId="36F7D1AF" w14:textId="77777777" w:rsidR="0040334B" w:rsidRDefault="0040334B" w:rsidP="0040334B">
      <w:pPr>
        <w:jc w:val="both"/>
      </w:pPr>
      <w:r>
        <w:t xml:space="preserve">beziehungsweise – in den Gefühlen der Liebe dann –:  </w:t>
      </w:r>
    </w:p>
    <w:p w14:paraId="5C33E5AA" w14:textId="4DE126A9" w:rsidR="0040334B" w:rsidRDefault="0040334B" w:rsidP="0040334B">
      <w:pPr>
        <w:jc w:val="both"/>
      </w:pPr>
      <w:r w:rsidRPr="0040334B">
        <w:rPr>
          <w:b/>
        </w:rPr>
        <w:t>Endlich bin ich da.</w:t>
      </w:r>
    </w:p>
    <w:p w14:paraId="047933F2" w14:textId="37DB7722" w:rsidR="0040334B" w:rsidRDefault="0040334B" w:rsidP="0040334B">
      <w:pPr>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w:t>
      </w:r>
      <w:r>
        <w:t>p</w:t>
      </w:r>
      <w:r>
        <w:t xml:space="preserve">;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w:t>
      </w:r>
      <w:r>
        <w:lastRenderedPageBreak/>
        <w:t>hergebrachte Wortbedeutungen keine große Rücksicht zu nehmen – alles fließt direkt aus seinen Gefühlen und aus seinem Unterbewu</w:t>
      </w:r>
      <w:r>
        <w:t>ss</w:t>
      </w:r>
      <w:r>
        <w:t xml:space="preserve">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43E99B5E" w:rsidR="00B0738E" w:rsidRDefault="00B0738E" w:rsidP="00B0738E">
      <w:pPr>
        <w:pStyle w:val="berschrift1"/>
      </w:pPr>
      <w:r w:rsidRPr="00B0738E">
        <w:t>Göttlicher Ursprung des Menschen: Böhme</w:t>
      </w:r>
    </w:p>
    <w:p w14:paraId="633DD6D9" w14:textId="77777777" w:rsidR="00B0738E" w:rsidRDefault="00B0738E" w:rsidP="00F749FB"/>
    <w:p w14:paraId="441FB72C" w14:textId="0BB412BE" w:rsidR="00B0738E" w:rsidRDefault="00B0738E" w:rsidP="00B0738E">
      <w:r>
        <w:t xml:space="preserve">Adam war ein Mensch und ein Bild Gottes, </w:t>
      </w:r>
      <w:r>
        <w:br/>
      </w:r>
      <w:r>
        <w:t>ein Gleichnis von Gott.</w:t>
      </w:r>
    </w:p>
    <w:p w14:paraId="2619CED4" w14:textId="4FB24BE5" w:rsidR="00B0738E" w:rsidRDefault="00B0738E" w:rsidP="00B0738E">
      <w:r>
        <w:t xml:space="preserve">Das Licht schien in ihm. </w:t>
      </w:r>
      <w:r>
        <w:br/>
      </w:r>
      <w:r>
        <w:t xml:space="preserve">Er stand in großer Schönheit, Freude und Lust,  </w:t>
      </w:r>
      <w:r>
        <w:br/>
      </w:r>
      <w: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r>
      <w: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lastRenderedPageBreak/>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Von dem D</w:t>
      </w:r>
      <w:proofErr w:type="spellStart"/>
      <w:r>
        <w:t>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5C6F29F2" w:rsidR="00AA63CC" w:rsidRDefault="00AA63CC" w:rsidP="00AA63CC">
      <w:pPr>
        <w:pStyle w:val="berschrift1"/>
      </w:pPr>
      <w:r w:rsidRPr="00AA63CC">
        <w:t>Göttlicher Ursprung des Menschen: 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r>
      <w:r>
        <w:t xml:space="preserve">Als ein Hurricane brauste  </w:t>
      </w:r>
      <w:r>
        <w:br/>
      </w:r>
      <w:r>
        <w:t xml:space="preserve">Deine Freiheit liegt gleich hier um die Ecke  </w:t>
      </w:r>
      <w:r>
        <w:br/>
      </w:r>
      <w:r>
        <w:t xml:space="preserve">Doch wenn Du so weit von der Wahrheit entfernt bist  </w:t>
      </w:r>
      <w:r>
        <w:br/>
      </w:r>
      <w: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77777777" w:rsidR="00AF2810" w:rsidRDefault="00AF2810" w:rsidP="00AF2810">
      <w:pPr>
        <w:pStyle w:val="berschrift1"/>
      </w:pPr>
      <w:r>
        <w:t>Welterkenntnis: 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77777777" w:rsidR="00E177C5" w:rsidRDefault="00E177C5" w:rsidP="00E177C5">
      <w:pPr>
        <w:pStyle w:val="berschrift1"/>
      </w:pPr>
      <w:r>
        <w:t>Welterkenntnis: 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r>
      <w:r>
        <w:t>Ich singe Songs von Liebe - ich singe Songs von Betrug</w:t>
      </w:r>
    </w:p>
    <w:p w14:paraId="641146D5" w14:textId="77777777" w:rsidR="00E177C5" w:rsidRDefault="00E177C5" w:rsidP="00E177C5"/>
    <w:p w14:paraId="31387EF1" w14:textId="2B347889" w:rsidR="00E177C5" w:rsidRDefault="00E177C5" w:rsidP="00E177C5">
      <w:pPr>
        <w:pStyle w:val="berschrift1"/>
      </w:pPr>
      <w:r w:rsidRPr="00E177C5">
        <w:t>Gott in der Natur erkennen: Böhme</w:t>
      </w:r>
    </w:p>
    <w:p w14:paraId="6758BA1A" w14:textId="77777777" w:rsidR="00E177C5" w:rsidRDefault="00E177C5" w:rsidP="00E177C5"/>
    <w:p w14:paraId="1034FB98" w14:textId="7ABDDC5A" w:rsidR="00E177C5" w:rsidRDefault="00E177C5" w:rsidP="00E177C5">
      <w:r>
        <w:t xml:space="preserve">In diesem Licht hat mein Geist  </w:t>
      </w:r>
      <w:r>
        <w:br/>
      </w:r>
      <w:r>
        <w:t xml:space="preserve">bald durch alles hindurchgesehen  </w:t>
      </w:r>
      <w:r>
        <w:br/>
      </w:r>
      <w:r>
        <w:t xml:space="preserve">und an allen Kreaturen,  </w:t>
      </w:r>
      <w:r>
        <w:br/>
      </w:r>
      <w:r>
        <w:t xml:space="preserve">sogar an Kraut und Gras,  </w:t>
      </w:r>
      <w:r>
        <w:br/>
      </w:r>
      <w:r>
        <w:t xml:space="preserve">Gott erkannt,  </w:t>
      </w:r>
      <w:r>
        <w:br/>
      </w:r>
      <w:r>
        <w:t xml:space="preserve">wer und wie Er </w:t>
      </w:r>
      <w:proofErr w:type="gramStart"/>
      <w:r>
        <w:t>sei</w:t>
      </w:r>
      <w:proofErr w:type="gramEnd"/>
      <w:r>
        <w:t xml:space="preserve">  </w:t>
      </w:r>
      <w:r>
        <w:br/>
      </w:r>
      <w:r>
        <w:t>und was Sein Wille ist.</w:t>
      </w:r>
    </w:p>
    <w:p w14:paraId="1A74D2DB" w14:textId="60BB59D6" w:rsidR="00E177C5" w:rsidRDefault="00E177C5" w:rsidP="00E177C5">
      <w:r>
        <w:t>Aurora, 19.13</w:t>
      </w:r>
    </w:p>
    <w:p w14:paraId="51C2532D" w14:textId="77777777" w:rsidR="00E177C5" w:rsidRDefault="00E177C5" w:rsidP="00E177C5"/>
    <w:p w14:paraId="1D371C38" w14:textId="77777777" w:rsidR="00E177C5" w:rsidRDefault="00E177C5" w:rsidP="00E177C5">
      <w:pPr>
        <w:pStyle w:val="berschrift1"/>
      </w:pPr>
      <w:r>
        <w:t>Gott in der Natur erkennen: 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r>
      <w:r>
        <w:lastRenderedPageBreak/>
        <w:t xml:space="preserve">In jedem Blatt, das zittert,  </w:t>
      </w:r>
      <w:r>
        <w:br/>
      </w:r>
      <w: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054CF34C" w14:textId="77777777" w:rsidR="00BE508A" w:rsidRDefault="00BE508A" w:rsidP="00BE508A">
      <w:pPr>
        <w:pStyle w:val="berschrift1"/>
      </w:pPr>
      <w:r>
        <w:t>Quellen der Inspiration: Böhme</w:t>
      </w:r>
    </w:p>
    <w:p w14:paraId="741E4EB9" w14:textId="77777777" w:rsidR="00BE508A" w:rsidRDefault="00BE508A" w:rsidP="00BE508A"/>
    <w:p w14:paraId="2233EBE8" w14:textId="51EA093C" w:rsidR="00BE508A" w:rsidRDefault="00BE508A" w:rsidP="00BE508A">
      <w:r>
        <w:t xml:space="preserve">Mein Buch hat nur drei Blätter,  </w:t>
      </w:r>
      <w:r>
        <w:br/>
      </w:r>
      <w:r>
        <w:t xml:space="preserve">das sind die drei Prinzipien der Ewigkeit;  </w:t>
      </w:r>
      <w:r>
        <w:br/>
      </w:r>
      <w:r>
        <w:t xml:space="preserve">darinnen kann ich alles finden.  </w:t>
      </w:r>
      <w:r>
        <w:br/>
      </w:r>
      <w:r>
        <w:t xml:space="preserve">Ich benötige kein anderes Buch.  </w:t>
      </w:r>
    </w:p>
    <w:p w14:paraId="7E4E44F4" w14:textId="0E361DC0" w:rsidR="00BE508A" w:rsidRDefault="00BE508A" w:rsidP="00BE508A">
      <w:r>
        <w:t xml:space="preserve">Denn das Buch ist der Mensch selber:  </w:t>
      </w:r>
      <w:r>
        <w:br/>
      </w:r>
      <w:r>
        <w:t xml:space="preserve">weil er selbst das Gleichnis der Gottheit ist;  </w:t>
      </w:r>
      <w:r>
        <w:br/>
      </w:r>
      <w:r>
        <w:t xml:space="preserve">das große Geheimnis liegt in ihm,  </w:t>
      </w:r>
      <w:r>
        <w:br/>
      </w:r>
      <w: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77777777" w:rsidR="00BE508A" w:rsidRDefault="00BE508A" w:rsidP="00BE508A">
      <w:pPr>
        <w:pStyle w:val="berschrift1"/>
      </w:pPr>
      <w:r>
        <w:t>Quellen der Inspiration: 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r>
        <w:t xml:space="preserve">Dylan in Interviews ...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lastRenderedPageBreak/>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S. 1</w:t>
      </w:r>
      <w:r>
        <w:t>1</w:t>
      </w:r>
      <w:r>
        <w:t xml:space="preserve">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w:t>
      </w:r>
      <w:r>
        <w:t>als Schiedsrichter respektiert</w:t>
      </w:r>
      <w:r>
        <w:t xml:space="preserve">?  </w:t>
      </w:r>
    </w:p>
    <w:p w14:paraId="2C5056E1" w14:textId="77777777" w:rsidR="00BE508A" w:rsidRDefault="00BE508A" w:rsidP="00BE508A"/>
    <w:p w14:paraId="296A2F56" w14:textId="77777777" w:rsidR="00BE508A" w:rsidRDefault="00BE508A" w:rsidP="00BE508A"/>
    <w:sectPr w:rsidR="00BE50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D7042"/>
    <w:rsid w:val="002E34E9"/>
    <w:rsid w:val="00364144"/>
    <w:rsid w:val="003D2573"/>
    <w:rsid w:val="0040334B"/>
    <w:rsid w:val="004139D4"/>
    <w:rsid w:val="0049443B"/>
    <w:rsid w:val="00703254"/>
    <w:rsid w:val="00AA63CC"/>
    <w:rsid w:val="00AF2810"/>
    <w:rsid w:val="00B0738E"/>
    <w:rsid w:val="00BA13BC"/>
    <w:rsid w:val="00BE508A"/>
    <w:rsid w:val="00E177C5"/>
    <w:rsid w:val="00EA33DD"/>
    <w:rsid w:val="00F36F32"/>
    <w:rsid w:val="00F7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1234</Words>
  <Characters>7780</Characters>
  <Application>Microsoft Office Word</Application>
  <DocSecurity>0</DocSecurity>
  <Lines>64</Lines>
  <Paragraphs>17</Paragraphs>
  <ScaleCrop>false</ScaleCrop>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11</cp:revision>
  <dcterms:created xsi:type="dcterms:W3CDTF">2025-03-09T18:53:00Z</dcterms:created>
  <dcterms:modified xsi:type="dcterms:W3CDTF">2025-03-09T19:40:00Z</dcterms:modified>
</cp:coreProperties>
</file>