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9"/>
          <w:sz w:val="32"/>
          <w:szCs w:val="32"/>
        </w:rPr>
        <w:t xml:space="preserve">Portal de Reportes Crystal</w:t>
      </w:r>
    </w:p>
    <w:p>
      <w:pPr>
        <w:spacing w:after="360"/>
        <w:jc w:val="center"/>
      </w:pPr>
      <w:r>
        <w:rPr>
          <w:rFonts w:ascii="Calibri" w:cs="Calibri" w:eastAsia="Calibri" w:hAnsi="Calibri"/>
          <w:i/>
          <w:iCs/>
          <w:sz w:val="20"/>
          <w:szCs w:val="20"/>
        </w:rPr>
        <w:t xml:space="preserve">Documentación Técnica de Implementación  |  Superrepuestos  |  Agosto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Campo</w:t>
            </w:r>
          </w:p>
        </w:tc>
        <w:tc>
          <w:tcPr>
            <w:tcW w:type="dxa" w:w="71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Detalle</w:t>
            </w:r>
          </w:p>
        </w:tc>
      </w:tr>
      <w:t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Proyecto</w:t>
            </w:r>
          </w:p>
        </w:tc>
        <w:tc>
          <w:tcPr>
            <w:tcW w:type="dxa" w:w="71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Portal de Reportes Crystal</w:t>
            </w:r>
          </w:p>
        </w:tc>
      </w:tr>
      <w:t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Elaborado por</w:t>
            </w:r>
          </w:p>
        </w:tc>
        <w:tc>
          <w:tcPr>
            <w:tcW w:type="dxa" w:w="71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Jonathan Flores — Inteligencia de Negocios / DWH</w:t>
            </w:r>
          </w:p>
        </w:tc>
      </w:tr>
      <w:t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Fecha</w:t>
            </w:r>
          </w:p>
        </w:tc>
        <w:tc>
          <w:tcPr>
            <w:tcW w:type="dxa" w:w="71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17 de agosto de 2026</w:t>
            </w:r>
          </w:p>
        </w:tc>
      </w:tr>
      <w:t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Versión</w:t>
            </w:r>
          </w:p>
        </w:tc>
        <w:tc>
          <w:tcPr>
            <w:tcW w:type="dxa" w:w="71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1.0</w:t>
            </w:r>
          </w:p>
        </w:tc>
      </w:tr>
      <w:t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Estado</w:t>
            </w:r>
          </w:p>
        </w:tc>
        <w:tc>
          <w:tcPr>
            <w:tcW w:type="dxa" w:w="71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Ambiente de desarrollo funcional y validado</w:t>
            </w:r>
          </w:p>
        </w:tc>
      </w:tr>
      <w:t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Clasificación</w:t>
            </w:r>
          </w:p>
        </w:tc>
        <w:tc>
          <w:tcPr>
            <w:tcW w:type="dxa" w:w="71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Uso interno</w:t>
            </w:r>
          </w:p>
        </w:tc>
      </w:tr>
    </w:tbl>
    <w:p>
      <w:pPr>
        <w:spacing w:after="140" w:before="320"/>
      </w:pPr>
      <w:r>
        <w:rPr>
          <w:rFonts w:ascii="Calibri" w:cs="Calibri" w:eastAsia="Calibri" w:hAnsi="Calibri"/>
          <w:b/>
          <w:bCs/>
          <w:color w:val="1F4E79"/>
          <w:sz w:val="24"/>
          <w:szCs w:val="24"/>
        </w:rPr>
        <w:t xml:space="preserve">1. Objetivo</w:t>
      </w:r>
    </w:p>
    <w:p>
      <w:pPr>
        <w:spacing w:after="120"/>
        <w:jc w:val="both"/>
      </w:pPr>
      <w:r>
        <w:rPr>
          <w:rFonts w:ascii="Calibri" w:cs="Calibri" w:eastAsia="Calibri" w:hAnsi="Calibri"/>
          <w:sz w:val="20"/>
          <w:szCs w:val="20"/>
        </w:rPr>
        <w:t xml:space="preserve">Documentar la construcción, configuración y validación del Portal de Reportes Crystal: una aplicación web ASP.NET MVC 5 que permite a los usuarios del dominio consultar y exportar reportes de SAP Crystal Reports (archivos .rpt) a través del navegador, utilizando autenticación integrada de Windows, sin necesidad de instalar el cliente de Crystal Reports en cada estación de trabajo.</w:t>
      </w:r>
    </w:p>
    <w:p>
      <w:pPr>
        <w:spacing w:after="140" w:before="320"/>
      </w:pPr>
      <w:r>
        <w:rPr>
          <w:rFonts w:ascii="Calibri" w:cs="Calibri" w:eastAsia="Calibri" w:hAnsi="Calibri"/>
          <w:b/>
          <w:bCs/>
          <w:color w:val="1F4E79"/>
          <w:sz w:val="24"/>
          <w:szCs w:val="24"/>
        </w:rPr>
        <w:t xml:space="preserve">2. Alcance</w:t>
      </w:r>
    </w:p>
    <w:p>
      <w:pPr>
        <w:spacing w:after="100" w:before="220"/>
      </w:pPr>
      <w:r>
        <w:rPr>
          <w:rFonts w:ascii="Calibri" w:cs="Calibri" w:eastAsia="Calibri" w:hAnsi="Calibri"/>
          <w:b/>
          <w:bCs/>
          <w:sz w:val="21"/>
          <w:szCs w:val="21"/>
        </w:rPr>
        <w:t xml:space="preserve">Incluye</w:t>
      </w:r>
    </w:p>
    <w:p>
      <w:pPr>
        <w:pStyle w:val="ListParagraph"/>
        <w:numPr>
          <w:ilvl w:val="0"/>
          <w:numId w:val="1"/>
        </w:numPr>
        <w:spacing w:after="60"/>
      </w:pPr>
      <w:r>
        <w:rPr>
          <w:rFonts w:ascii="Calibri" w:cs="Calibri" w:eastAsia="Calibri" w:hAnsi="Calibri"/>
          <w:sz w:val="20"/>
          <w:szCs w:val="20"/>
        </w:rPr>
        <w:t xml:space="preserve">Verificación del entorno de desarrollo y sus componentes.</w:t>
      </w:r>
    </w:p>
    <w:p>
      <w:pPr>
        <w:pStyle w:val="ListParagraph"/>
        <w:numPr>
          <w:ilvl w:val="0"/>
          <w:numId w:val="1"/>
        </w:numPr>
        <w:spacing w:after="60"/>
      </w:pPr>
      <w:r>
        <w:rPr>
          <w:rFonts w:ascii="Calibri" w:cs="Calibri" w:eastAsia="Calibri" w:hAnsi="Calibri"/>
          <w:sz w:val="20"/>
          <w:szCs w:val="20"/>
        </w:rPr>
        <w:t xml:space="preserve">Arquitectura y estructura de la solución construida.</w:t>
      </w:r>
    </w:p>
    <w:p>
      <w:pPr>
        <w:pStyle w:val="ListParagraph"/>
        <w:numPr>
          <w:ilvl w:val="0"/>
          <w:numId w:val="1"/>
        </w:numPr>
        <w:spacing w:after="60"/>
      </w:pPr>
      <w:r>
        <w:rPr>
          <w:rFonts w:ascii="Calibri" w:cs="Calibri" w:eastAsia="Calibri" w:hAnsi="Calibri"/>
          <w:sz w:val="20"/>
          <w:szCs w:val="20"/>
        </w:rPr>
        <w:t xml:space="preserve">Diagnóstico y solución de la incidencia de arranque en Visual Studio.</w:t>
      </w:r>
    </w:p>
    <w:p>
      <w:pPr>
        <w:pStyle w:val="ListParagraph"/>
        <w:numPr>
          <w:ilvl w:val="0"/>
          <w:numId w:val="1"/>
        </w:numPr>
        <w:spacing w:after="60"/>
      </w:pPr>
      <w:r>
        <w:rPr>
          <w:rFonts w:ascii="Calibri" w:cs="Calibri" w:eastAsia="Calibri" w:hAnsi="Calibri"/>
          <w:sz w:val="20"/>
          <w:szCs w:val="20"/>
        </w:rPr>
        <w:t xml:space="preserve">Mecanismo alterno de ejecución mediante IIS Express.</w:t>
      </w:r>
    </w:p>
    <w:p>
      <w:pPr>
        <w:pStyle w:val="ListParagraph"/>
        <w:numPr>
          <w:ilvl w:val="0"/>
          <w:numId w:val="1"/>
        </w:numPr>
        <w:spacing w:after="60"/>
      </w:pPr>
      <w:r>
        <w:rPr>
          <w:rFonts w:ascii="Calibri" w:cs="Calibri" w:eastAsia="Calibri" w:hAnsi="Calibri"/>
          <w:sz w:val="20"/>
          <w:szCs w:val="20"/>
        </w:rPr>
        <w:t xml:space="preserve">Pruebas de validación funcional ejecutadas y sus resultados.</w:t>
      </w:r>
    </w:p>
    <w:p>
      <w:pPr>
        <w:pStyle w:val="ListParagraph"/>
        <w:numPr>
          <w:ilvl w:val="0"/>
          <w:numId w:val="1"/>
        </w:numPr>
        <w:spacing w:after="60"/>
      </w:pPr>
      <w:r>
        <w:rPr>
          <w:rFonts w:ascii="Calibri" w:cs="Calibri" w:eastAsia="Calibri" w:hAnsi="Calibri"/>
          <w:sz w:val="20"/>
          <w:szCs w:val="20"/>
        </w:rPr>
        <w:t xml:space="preserve">Manejo de errores y consideraciones de seguridad.</w:t>
      </w:r>
    </w:p>
    <w:p>
      <w:pPr>
        <w:spacing w:after="100" w:before="220"/>
      </w:pPr>
      <w:r>
        <w:rPr>
          <w:rFonts w:ascii="Calibri" w:cs="Calibri" w:eastAsia="Calibri" w:hAnsi="Calibri"/>
          <w:b/>
          <w:bCs/>
          <w:sz w:val="21"/>
          <w:szCs w:val="21"/>
        </w:rPr>
        <w:t xml:space="preserve">No incluye (pendiente de fases posteriores)</w:t>
      </w:r>
    </w:p>
    <w:p>
      <w:pPr>
        <w:pStyle w:val="ListParagraph"/>
        <w:numPr>
          <w:ilvl w:val="0"/>
          <w:numId w:val="1"/>
        </w:numPr>
        <w:spacing w:after="60"/>
      </w:pPr>
      <w:r>
        <w:rPr>
          <w:rFonts w:ascii="Calibri" w:cs="Calibri" w:eastAsia="Calibri" w:hAnsi="Calibri"/>
          <w:sz w:val="20"/>
          <w:szCs w:val="20"/>
        </w:rPr>
        <w:t xml:space="preserve">Despliegue en servidor de producción y configuración de IIS corporativo.</w:t>
      </w:r>
    </w:p>
    <w:p>
      <w:pPr>
        <w:pStyle w:val="ListParagraph"/>
        <w:numPr>
          <w:ilvl w:val="0"/>
          <w:numId w:val="1"/>
        </w:numPr>
        <w:spacing w:after="60"/>
      </w:pPr>
      <w:r>
        <w:rPr>
          <w:rFonts w:ascii="Calibri" w:cs="Calibri" w:eastAsia="Calibri" w:hAnsi="Calibri"/>
          <w:sz w:val="20"/>
          <w:szCs w:val="20"/>
        </w:rPr>
        <w:t xml:space="preserve">Migración del inventario de reportes existentes de Superrepuestos.</w:t>
      </w:r>
    </w:p>
    <w:p>
      <w:pPr>
        <w:pStyle w:val="ListParagraph"/>
        <w:numPr>
          <w:ilvl w:val="0"/>
          <w:numId w:val="1"/>
        </w:numPr>
        <w:spacing w:after="60"/>
      </w:pPr>
      <w:r>
        <w:rPr>
          <w:rFonts w:ascii="Calibri" w:cs="Calibri" w:eastAsia="Calibri" w:hAnsi="Calibri"/>
          <w:sz w:val="20"/>
          <w:szCs w:val="20"/>
        </w:rPr>
        <w:t xml:space="preserve">Configuración de conexión a la base de datos corporativa y gestión de credenciales.</w:t>
      </w:r>
    </w:p>
    <w:p>
      <w:pPr>
        <w:pStyle w:val="ListParagraph"/>
        <w:numPr>
          <w:ilvl w:val="0"/>
          <w:numId w:val="1"/>
        </w:numPr>
        <w:spacing w:after="60"/>
      </w:pPr>
      <w:r>
        <w:rPr>
          <w:rFonts w:ascii="Calibri" w:cs="Calibri" w:eastAsia="Calibri" w:hAnsi="Calibri"/>
          <w:sz w:val="20"/>
          <w:szCs w:val="20"/>
        </w:rPr>
        <w:t xml:space="preserve">Definición del modelo de permisos por reporte o por área.</w:t>
      </w:r>
    </w:p>
    <w:p>
      <w:pPr>
        <w:spacing w:after="140" w:before="320"/>
      </w:pPr>
      <w:r>
        <w:rPr>
          <w:rFonts w:ascii="Calibri" w:cs="Calibri" w:eastAsia="Calibri" w:hAnsi="Calibri"/>
          <w:b/>
          <w:bCs/>
          <w:color w:val="1F4E79"/>
          <w:sz w:val="24"/>
          <w:szCs w:val="24"/>
        </w:rPr>
        <w:t xml:space="preserve">3. Resumen ejecutivo</w:t>
      </w:r>
    </w:p>
    <w:p>
      <w:pPr>
        <w:spacing w:after="120"/>
        <w:jc w:val="both"/>
      </w:pPr>
      <w:r>
        <w:rPr>
          <w:rFonts w:ascii="Calibri" w:cs="Calibri" w:eastAsia="Calibri" w:hAnsi="Calibri"/>
          <w:sz w:val="20"/>
          <w:szCs w:val="20"/>
        </w:rPr>
        <w:t xml:space="preserve">El ambiente de desarrollo quedó operativo y fue validado con pruebas funcionales reales. La aplicación carga archivos .rpt mediante el SDK de Crystal Reports, autentica a los usuarios contra el dominio y exporta reportes a PDF y Excel de forma correcta.</w:t>
      </w:r>
    </w:p>
    <w:p>
      <w:pPr>
        <w:spacing w:after="120"/>
        <w:jc w:val="both"/>
      </w:pPr>
      <w:r>
        <w:rPr>
          <w:rFonts w:ascii="Calibri" w:cs="Calibri" w:eastAsia="Calibri" w:hAnsi="Calibri"/>
          <w:sz w:val="20"/>
          <w:szCs w:val="20"/>
        </w:rPr>
        <w:t xml:space="preserve">Durante la implementación se presentó una incidencia en Visual Studio 2022 que impide iniciar el proyecto con la tecla F5. Se identificó la causa probable, se documentó la reparación correspondiente y se implementó un mecanismo alterno de ejecución que permite continuar el desarrollo sin bloqueo. Esta incidencia no afecta la aplicación ni su futuro despliegue en producción: es exclusiva del entorno de desarrollo local.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60"/>
        <w:gridCol w:w="3000"/>
      </w:tblGrid>
      <w:tr>
        <w:trPr>
          <w:tblHeader/>
        </w:trPr>
        <w:tc>
          <w:tcPr>
            <w:tcW w:type="dxa" w:w="63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Componente</w:t>
            </w:r>
          </w:p>
        </w:tc>
        <w:tc>
          <w:tcPr>
            <w:tcW w:type="dxa" w:w="30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Estado</w:t>
            </w:r>
          </w:p>
        </w:tc>
      </w:tr>
      <w:tr>
        <w:tc>
          <w:tcPr>
            <w:tcW w:type="dxa" w:w="63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Aplicación web ASP.NET MVC 5</w:t>
            </w:r>
          </w:p>
        </w:tc>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Operativa y validada</w:t>
            </w:r>
          </w:p>
        </w:tc>
      </w:tr>
      <w:tr>
        <w:tc>
          <w:tcPr>
            <w:tcW w:type="dxa" w:w="63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Autenticación integrada de Windows</w:t>
            </w:r>
          </w:p>
        </w:tc>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Operativa</w:t>
            </w:r>
          </w:p>
        </w:tc>
      </w:tr>
      <w:tr>
        <w:tc>
          <w:tcPr>
            <w:tcW w:type="dxa" w:w="63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Motor de Crystal Reports (carga de .rpt)</w:t>
            </w:r>
          </w:p>
        </w:tc>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Operativo</w:t>
            </w:r>
          </w:p>
        </w:tc>
      </w:tr>
      <w:tr>
        <w:tc>
          <w:tcPr>
            <w:tcW w:type="dxa" w:w="63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Exportación a PDF y Excel</w:t>
            </w:r>
          </w:p>
        </w:tc>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Operativa</w:t>
            </w:r>
          </w:p>
        </w:tc>
      </w:tr>
      <w:tr>
        <w:tc>
          <w:tcPr>
            <w:tcW w:type="dxa" w:w="63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Manejo controlado de errores</w:t>
            </w:r>
          </w:p>
        </w:tc>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Implementado</w:t>
            </w:r>
          </w:p>
        </w:tc>
      </w:tr>
      <w:tr>
        <w:tc>
          <w:tcPr>
            <w:tcW w:type="dxa" w:w="63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Depuración con tecla F5 en Visual Studio</w:t>
            </w:r>
          </w:p>
        </w:tc>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Con incidencia — solución alterna vigente</w:t>
            </w:r>
          </w:p>
        </w:tc>
      </w:tr>
      <w:tr>
        <w:tc>
          <w:tcPr>
            <w:tcW w:type="dxa" w:w="63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Conexión a base de datos corporativa</w:t>
            </w:r>
          </w:p>
        </w:tc>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Pendiente</w:t>
            </w:r>
          </w:p>
        </w:tc>
      </w:tr>
    </w:tbl>
    <w:p>
      <w:pPr>
        <w:pageBreakBefore/>
        <w:spacing w:after="140" w:before="0"/>
      </w:pPr>
      <w:r>
        <w:rPr>
          <w:rFonts w:ascii="Calibri" w:cs="Calibri" w:eastAsia="Calibri" w:hAnsi="Calibri"/>
          <w:b/>
          <w:bCs/>
          <w:color w:val="1F4E79"/>
          <w:sz w:val="24"/>
          <w:szCs w:val="24"/>
        </w:rPr>
        <w:t xml:space="preserve">4. Entorno verificado</w:t>
      </w:r>
    </w:p>
    <w:p>
      <w:pPr>
        <w:spacing w:after="120"/>
        <w:jc w:val="both"/>
      </w:pPr>
      <w:r>
        <w:rPr>
          <w:rFonts w:ascii="Calibri" w:cs="Calibri" w:eastAsia="Calibri" w:hAnsi="Calibri"/>
          <w:sz w:val="20"/>
          <w:szCs w:val="20"/>
        </w:rPr>
        <w:t xml:space="preserve">Los siguientes componentes fueron verificados directamente sobre la estación de desarrollo: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4260"/>
        <w:gridCol w:w="2000"/>
      </w:tblGrid>
      <w:tr>
        <w:trPr>
          <w:tblHeader/>
        </w:trPr>
        <w:tc>
          <w:tcPr>
            <w:tcW w:type="dxa" w:w="31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Componente</w:t>
            </w:r>
          </w:p>
        </w:tc>
        <w:tc>
          <w:tcPr>
            <w:tcW w:type="dxa" w:w="42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Versión / Ubicación</w:t>
            </w:r>
          </w:p>
        </w:tc>
        <w:tc>
          <w:tcPr>
            <w:tcW w:type="dxa" w:w="20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Estado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Sistema operativo</w:t>
            </w:r>
          </w:p>
        </w:tc>
        <w:tc>
          <w:tcPr>
            <w:tcW w:type="dxa" w:w="42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Windows 11 Pro 10.0.26200</w:t>
            </w:r>
          </w:p>
        </w:tc>
        <w:tc>
          <w:tcPr>
            <w:tcW w:type="dxa" w:w="20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Verificado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Visual Studio Community 2022</w:t>
            </w:r>
          </w:p>
        </w:tc>
        <w:tc>
          <w:tcPr>
            <w:tcW w:type="dxa" w:w="42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17.14</w:t>
            </w:r>
          </w:p>
        </w:tc>
        <w:tc>
          <w:tcPr>
            <w:tcW w:type="dxa" w:w="20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Verificado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MSBuild</w:t>
            </w:r>
          </w:p>
        </w:tc>
        <w:tc>
          <w:tcPr>
            <w:tcW w:type="dxa" w:w="42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17.14.51</w:t>
            </w:r>
          </w:p>
        </w:tc>
        <w:tc>
          <w:tcPr>
            <w:tcW w:type="dxa" w:w="20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Verificado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.NET Framework</w:t>
            </w:r>
          </w:p>
        </w:tc>
        <w:tc>
          <w:tcPr>
            <w:tcW w:type="dxa" w:w="42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4.8</w:t>
            </w:r>
          </w:p>
        </w:tc>
        <w:tc>
          <w:tcPr>
            <w:tcW w:type="dxa" w:w="20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Verificado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SAP Crystal Reports 2020</w:t>
            </w:r>
          </w:p>
        </w:tc>
        <w:tc>
          <w:tcPr>
            <w:tcW w:type="dxa" w:w="42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SP4 Patch 5 (14.3.4.4970)</w:t>
            </w:r>
          </w:p>
        </w:tc>
        <w:tc>
          <w:tcPr>
            <w:tcW w:type="dxa" w:w="20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Verificado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Runtime Crystal Reports para .NET</w:t>
            </w:r>
          </w:p>
        </w:tc>
        <w:tc>
          <w:tcPr>
            <w:tcW w:type="dxa" w:w="42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13.0.35.4870</w:t>
            </w:r>
          </w:p>
        </w:tc>
        <w:tc>
          <w:tcPr>
            <w:tcW w:type="dxa" w:w="20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Verificado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Ensamblados CrystalDecisions en GAC</w:t>
            </w:r>
          </w:p>
        </w:tc>
        <w:tc>
          <w:tcPr>
            <w:tcW w:type="dxa" w:w="42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13.0.4000.0</w:t>
            </w:r>
          </w:p>
        </w:tc>
        <w:tc>
          <w:tcPr>
            <w:tcW w:type="dxa" w:w="20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Verificado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IIS Express</w:t>
            </w:r>
          </w:p>
        </w:tc>
        <w:tc>
          <w:tcPr>
            <w:tcW w:type="dxa" w:w="42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10.0</w:t>
            </w:r>
          </w:p>
        </w:tc>
        <w:tc>
          <w:tcPr>
            <w:tcW w:type="dxa" w:w="20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Verificado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ASP.NET MVC (NuGet)</w:t>
            </w:r>
          </w:p>
        </w:tc>
        <w:tc>
          <w:tcPr>
            <w:tcW w:type="dxa" w:w="42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5.2.9</w:t>
            </w:r>
          </w:p>
        </w:tc>
        <w:tc>
          <w:tcPr>
            <w:tcW w:type="dxa" w:w="20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Verificado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Razor / WebPages (NuGet)</w:t>
            </w:r>
          </w:p>
        </w:tc>
        <w:tc>
          <w:tcPr>
            <w:tcW w:type="dxa" w:w="42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3.2.9</w:t>
            </w:r>
          </w:p>
        </w:tc>
        <w:tc>
          <w:tcPr>
            <w:tcW w:type="dxa" w:w="20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Verificado</w:t>
            </w:r>
          </w:p>
        </w:tc>
      </w:tr>
    </w:tbl>
    <w:p>
      <w:pPr>
        <w:spacing w:after="100"/>
      </w:pPr>
    </w:p>
    <w:p>
      <w:pPr>
        <w:spacing w:after="120"/>
        <w:jc w:val="both"/>
      </w:pPr>
      <w:r>
        <w:rPr>
          <w:rFonts w:ascii="Calibri" w:cs="Calibri" w:eastAsia="Calibri" w:hAnsi="Calibri"/>
          <w:sz w:val="20"/>
          <w:szCs w:val="20"/>
        </w:rPr>
        <w:t xml:space="preserve">Consideración técnica relevante: el SDK de SAP Crystal Reports para .NET es compatible únicamente con .NET Framework. No existe soporte para .NET Core, .NET 5 o versiones posteriores. Por esta razón el proyecto se construyó sobre .NET Framework 4.8, decisión que condiciona toda la arquitectura de la solución.</w:t>
      </w:r>
    </w:p>
    <w:p>
      <w:pPr>
        <w:spacing w:after="140" w:before="320"/>
      </w:pPr>
      <w:r>
        <w:rPr>
          <w:rFonts w:ascii="Calibri" w:cs="Calibri" w:eastAsia="Calibri" w:hAnsi="Calibri"/>
          <w:b/>
          <w:bCs/>
          <w:color w:val="1F4E79"/>
          <w:sz w:val="24"/>
          <w:szCs w:val="24"/>
        </w:rPr>
        <w:t xml:space="preserve">5. Arquitectura de la solución</w:t>
      </w:r>
    </w:p>
    <w:p>
      <w:pPr>
        <w:spacing w:after="120"/>
        <w:jc w:val="both"/>
      </w:pPr>
      <w:r>
        <w:rPr>
          <w:rFonts w:ascii="Calibri" w:cs="Calibri" w:eastAsia="Calibri" w:hAnsi="Calibri"/>
          <w:sz w:val="20"/>
          <w:szCs w:val="20"/>
        </w:rPr>
        <w:t xml:space="preserve">La aplicación sigue el patrón Modelo-Vista-Controlador (MVC). El navegador solicita una URL, el enrutador de MVC la dirige al controlador correspondiente, este procesa la lógica y devuelve una vista en HTML o un archivo para descarga.</w:t>
      </w:r>
    </w:p>
    <w:p>
      <w:pPr>
        <w:spacing w:after="100" w:before="220"/>
      </w:pPr>
      <w:r>
        <w:rPr>
          <w:rFonts w:ascii="Calibri" w:cs="Calibri" w:eastAsia="Calibri" w:hAnsi="Calibri"/>
          <w:b/>
          <w:bCs/>
          <w:sz w:val="21"/>
          <w:szCs w:val="21"/>
        </w:rPr>
        <w:t xml:space="preserve">Ubicación</w:t>
      </w:r>
    </w:p>
    <w:p>
      <w:pPr>
        <w:shd w:fill="F0F0F0" w:color="auto" w:val="clear"/>
        <w:spacing w:after="120" w:before="60"/>
      </w:pPr>
      <w:r>
        <w:rPr>
          <w:rFonts w:ascii="Consolas" w:cs="Consolas" w:eastAsia="Consolas" w:hAnsi="Consolas"/>
          <w:sz w:val="17"/>
          <w:szCs w:val="17"/>
        </w:rPr>
        <w:t xml:space="preserve">C:\CLAUDE CODE\Proyecto Portal Crystal\PortalReportesCrystal\</w:t>
      </w:r>
    </w:p>
    <w:p>
      <w:pPr>
        <w:spacing w:after="100" w:before="220"/>
      </w:pPr>
      <w:r>
        <w:rPr>
          <w:rFonts w:ascii="Calibri" w:cs="Calibri" w:eastAsia="Calibri" w:hAnsi="Calibri"/>
          <w:b/>
          <w:bCs/>
          <w:sz w:val="21"/>
          <w:szCs w:val="21"/>
        </w:rPr>
        <w:t xml:space="preserve">Estructura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60"/>
      </w:tblGrid>
      <w:tr>
        <w:trPr>
          <w:tblHeader/>
        </w:trPr>
        <w:tc>
          <w:tcPr>
            <w:tcW w:type="dxa" w:w="34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Archivo o carpeta</w:t>
            </w:r>
          </w:p>
        </w:tc>
        <w:tc>
          <w:tcPr>
            <w:tcW w:type="dxa" w:w="59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Función</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PortalReportesCrystal.csproj</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Definición del proyecto: referencias, ensamblados de Crystal Reports y configuración de compilación.</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Web.config</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Configuración principal: autenticación Windows, autorización, ensamblados y redirección de versiones.</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Global.asax / Global.asax.cs</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Punto de arranque de la aplicación. Registra las rutas al iniciar.</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App_Start\RouteConfig.cs</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Definición del esquema de rutas: {controlador}/{acción}/{id}.</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Controllers\HomeController.cs</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Página principal. Recorre la carpeta Reportes y arma el listado.</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Controllers\ReportesController.cs</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Núcleo funcional: carga los .rpt con el SDK y ejecuta la exportación.</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Models\ReporteViewModel.cs</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Clases de transporte de datos entre controladores y vistas.</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Views\Home\Index.cshtml</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Listado de reportes disponibles con sus botones de acción.</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Views\Reportes\Ver.cshtml</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Detalle de un reporte individual.</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Views\Reportes\ErrorReporte.cshtml</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Mensaje controlado cuando falla la generación de un reporte.</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Views\Shared\_Layout.cshtml</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Plantilla maestra: encabezado, barra de navegación y pie de página.</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Content\Site.css</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Hoja de estilos institucional.</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Reportes\</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Carpeta donde se depositan los archivos .rpt a publicar.</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applicationhost.iisexpress.config</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Configuración de IIS Express con autenticación Windows habilitada.</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Ejecutar-Portal.ps1</w:t>
            </w:r>
          </w:p>
        </w:tc>
        <w:tc>
          <w:tcPr>
            <w:tcW w:type="dxa" w:w="5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Script que compila y ejecuta el portal sin depender de Visual Studio.</w:t>
            </w:r>
          </w:p>
        </w:tc>
      </w:tr>
    </w:tbl>
    <w:p>
      <w:pPr>
        <w:pageBreakBefore/>
        <w:spacing w:after="140" w:before="0"/>
      </w:pPr>
      <w:r>
        <w:rPr>
          <w:rFonts w:ascii="Calibri" w:cs="Calibri" w:eastAsia="Calibri" w:hAnsi="Calibri"/>
          <w:b/>
          <w:bCs/>
          <w:color w:val="1F4E79"/>
          <w:sz w:val="24"/>
          <w:szCs w:val="24"/>
        </w:rPr>
        <w:t xml:space="preserve">6. Funcionamiento de la integración con Crystal Reports</w:t>
      </w:r>
    </w:p>
    <w:p>
      <w:pPr>
        <w:spacing w:after="120"/>
        <w:jc w:val="both"/>
      </w:pPr>
      <w:r>
        <w:rPr>
          <w:rFonts w:ascii="Calibri" w:cs="Calibri" w:eastAsia="Calibri" w:hAnsi="Calibri"/>
          <w:sz w:val="20"/>
          <w:szCs w:val="20"/>
        </w:rPr>
        <w:t xml:space="preserve">La clase ReportDocument del SDK representa un archivo .rpt cargado en memoria. El ciclo de uso implementado en ReportesController.cs es el siguiente: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900"/>
        <w:gridCol w:w="5660"/>
      </w:tblGrid>
      <w:tr>
        <w:trPr>
          <w:tblHeader/>
        </w:trPr>
        <w:tc>
          <w:tcPr>
            <w:tcW w:type="dxa" w:w="8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Paso</w:t>
            </w:r>
          </w:p>
        </w:tc>
        <w:tc>
          <w:tcPr>
            <w:tcW w:type="dxa" w:w="29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Operación</w:t>
            </w:r>
          </w:p>
        </w:tc>
        <w:tc>
          <w:tcPr>
            <w:tcW w:type="dxa" w:w="56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Descripción</w:t>
            </w:r>
          </w:p>
        </w:tc>
      </w:tr>
      <w:tr>
        <w:tc>
          <w:tcPr>
            <w:tcW w:type="dxa" w:w="8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1</w:t>
            </w:r>
          </w:p>
        </w:tc>
        <w:tc>
          <w:tcPr>
            <w:tcW w:type="dxa" w:w="290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new ReportDocument()</w:t>
            </w:r>
          </w:p>
        </w:tc>
        <w:tc>
          <w:tcPr>
            <w:tcW w:type="dxa" w:w="5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Se crea la instancia del documento de reporte.</w:t>
            </w:r>
          </w:p>
        </w:tc>
      </w:tr>
      <w:tr>
        <w:tc>
          <w:tcPr>
            <w:tcW w:type="dxa" w:w="8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2</w:t>
            </w:r>
          </w:p>
        </w:tc>
        <w:tc>
          <w:tcPr>
            <w:tcW w:type="dxa" w:w="290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Load(ruta)</w:t>
            </w:r>
          </w:p>
        </w:tc>
        <w:tc>
          <w:tcPr>
            <w:tcW w:type="dxa" w:w="5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Se abre el archivo .rpt y se prepara para su procesamiento.</w:t>
            </w:r>
          </w:p>
        </w:tc>
      </w:tr>
      <w:tr>
        <w:tc>
          <w:tcPr>
            <w:tcW w:type="dxa" w:w="8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3</w:t>
            </w:r>
          </w:p>
        </w:tc>
        <w:tc>
          <w:tcPr>
            <w:tcW w:type="dxa" w:w="290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ConnectionInfo / TableLogOnInfo</w:t>
            </w:r>
          </w:p>
        </w:tc>
        <w:tc>
          <w:tcPr>
            <w:tcW w:type="dxa" w:w="5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Opcional: se aplican credenciales de base de datos a cada tabla del reporte.</w:t>
            </w:r>
          </w:p>
        </w:tc>
      </w:tr>
      <w:tr>
        <w:tc>
          <w:tcPr>
            <w:tcW w:type="dxa" w:w="8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4</w:t>
            </w:r>
          </w:p>
        </w:tc>
        <w:tc>
          <w:tcPr>
            <w:tcW w:type="dxa" w:w="290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ExportToStream(formato)</w:t>
            </w:r>
          </w:p>
        </w:tc>
        <w:tc>
          <w:tcPr>
            <w:tcW w:type="dxa" w:w="5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Se ejecuta la consulta y se genera el resultado en el formato solicitado.</w:t>
            </w:r>
          </w:p>
        </w:tc>
      </w:tr>
      <w:tr>
        <w:tc>
          <w:tcPr>
            <w:tcW w:type="dxa" w:w="8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5</w:t>
            </w:r>
          </w:p>
        </w:tc>
        <w:tc>
          <w:tcPr>
            <w:tcW w:type="dxa" w:w="290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Close() y Dispose()</w:t>
            </w:r>
          </w:p>
        </w:tc>
        <w:tc>
          <w:tcPr>
            <w:tcW w:type="dxa" w:w="5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Se liberan los recursos nativos. Paso obligatorio.</w:t>
            </w:r>
          </w:p>
        </w:tc>
      </w:tr>
    </w:tbl>
    <w:p>
      <w:pPr>
        <w:spacing w:after="100"/>
      </w:pPr>
    </w:p>
    <w:p>
      <w:pPr>
        <w:spacing w:after="120"/>
        <w:jc w:val="both"/>
      </w:pPr>
      <w:r>
        <w:rPr>
          <w:rFonts w:ascii="Calibri" w:cs="Calibri" w:eastAsia="Calibri" w:hAnsi="Calibri"/>
          <w:sz w:val="20"/>
          <w:szCs w:val="20"/>
        </w:rPr>
        <w:t xml:space="preserve">El paso 5 es crítico. Crystal Reports utiliza recursos de memoria no administrada; si no se liberan explícitamente, el proceso de IIS acumula memoria hasta degradar el servidor. Por ello la liberación se implementó dentro de un bloque finally, que se ejecuta siempre, incluso ante un error.</w:t>
      </w:r>
    </w:p>
    <w:p>
      <w:pPr>
        <w:spacing w:after="100" w:before="220"/>
      </w:pPr>
      <w:r>
        <w:rPr>
          <w:rFonts w:ascii="Calibri" w:cs="Calibri" w:eastAsia="Calibri" w:hAnsi="Calibri"/>
          <w:b/>
          <w:bCs/>
          <w:sz w:val="21"/>
          <w:szCs w:val="21"/>
        </w:rPr>
        <w:t xml:space="preserve">Formatos de exportación habilitados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860"/>
        <w:gridCol w:w="2500"/>
      </w:tblGrid>
      <w:tr>
        <w:trPr>
          <w:tblHeader/>
        </w:trPr>
        <w:tc>
          <w:tcPr>
            <w:tcW w:type="dxa" w:w="20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Formato</w:t>
            </w:r>
          </w:p>
        </w:tc>
        <w:tc>
          <w:tcPr>
            <w:tcW w:type="dxa" w:w="48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Tipo MIME</w:t>
            </w:r>
          </w:p>
        </w:tc>
        <w:tc>
          <w:tcPr>
            <w:tcW w:type="dxa" w:w="25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Extensión</w:t>
            </w:r>
          </w:p>
        </w:tc>
      </w:tr>
      <w:tr>
        <w:tc>
          <w:tcPr>
            <w:tcW w:type="dxa" w:w="2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PDF</w:t>
            </w:r>
          </w:p>
        </w:tc>
        <w:tc>
          <w:tcPr>
            <w:tcW w:type="dxa" w:w="486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application/pdf</w:t>
            </w:r>
          </w:p>
        </w:tc>
        <w:tc>
          <w:tcPr>
            <w:tcW w:type="dxa" w:w="250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.pdf</w:t>
            </w:r>
          </w:p>
        </w:tc>
      </w:tr>
      <w:tr>
        <w:tc>
          <w:tcPr>
            <w:tcW w:type="dxa" w:w="2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Excel</w:t>
            </w:r>
          </w:p>
        </w:tc>
        <w:tc>
          <w:tcPr>
            <w:tcW w:type="dxa" w:w="486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application/vnd.ms-excel</w:t>
            </w:r>
          </w:p>
        </w:tc>
        <w:tc>
          <w:tcPr>
            <w:tcW w:type="dxa" w:w="250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.xls</w:t>
            </w:r>
          </w:p>
        </w:tc>
      </w:tr>
      <w:tr>
        <w:tc>
          <w:tcPr>
            <w:tcW w:type="dxa" w:w="2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Word</w:t>
            </w:r>
          </w:p>
        </w:tc>
        <w:tc>
          <w:tcPr>
            <w:tcW w:type="dxa" w:w="486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application/msword</w:t>
            </w:r>
          </w:p>
        </w:tc>
        <w:tc>
          <w:tcPr>
            <w:tcW w:type="dxa" w:w="2500"/>
            <w:tcMar>
              <w:top w:type="dxa" w:w="60"/>
              <w:left w:type="dxa" w:w="100"/>
              <w:bottom w:type="dxa" w:w="60"/>
              <w:right w:type="dxa" w:w="100"/>
            </w:tcMar>
          </w:tcPr>
          <w:p>
            <w:pPr>
              <w:spacing w:after="0" w:before="0"/>
              <w:jc w:val="left"/>
            </w:pPr>
            <w:r>
              <w:rPr>
                <w:rFonts w:ascii="Consolas" w:cs="Consolas" w:eastAsia="Consolas" w:hAnsi="Consolas"/>
                <w:b w:val="false"/>
                <w:bCs w:val="false"/>
                <w:sz w:val="16"/>
                <w:szCs w:val="16"/>
              </w:rPr>
              <w:t xml:space="preserve">.doc</w:t>
            </w:r>
          </w:p>
        </w:tc>
      </w:tr>
    </w:tbl>
    <w:p>
      <w:pPr>
        <w:spacing w:after="140" w:before="320"/>
      </w:pPr>
      <w:r>
        <w:rPr>
          <w:rFonts w:ascii="Calibri" w:cs="Calibri" w:eastAsia="Calibri" w:hAnsi="Calibri"/>
          <w:b/>
          <w:bCs/>
          <w:color w:val="1F4E79"/>
          <w:sz w:val="24"/>
          <w:szCs w:val="24"/>
        </w:rPr>
        <w:t xml:space="preserve">7. Incidencia: arranque con F5 en Visual Studio</w:t>
      </w:r>
    </w:p>
    <w:p>
      <w:pPr>
        <w:spacing w:after="100" w:before="220"/>
      </w:pPr>
      <w:r>
        <w:rPr>
          <w:rFonts w:ascii="Calibri" w:cs="Calibri" w:eastAsia="Calibri" w:hAnsi="Calibri"/>
          <w:b/>
          <w:bCs/>
          <w:sz w:val="21"/>
          <w:szCs w:val="21"/>
        </w:rPr>
        <w:t xml:space="preserve">7.1 Descripción</w:t>
      </w:r>
    </w:p>
    <w:p>
      <w:pPr>
        <w:spacing w:after="120"/>
        <w:jc w:val="both"/>
      </w:pPr>
      <w:r>
        <w:rPr>
          <w:rFonts w:ascii="Calibri" w:cs="Calibri" w:eastAsia="Calibri" w:hAnsi="Calibri"/>
          <w:sz w:val="20"/>
          <w:szCs w:val="20"/>
        </w:rPr>
        <w:t xml:space="preserve">Al presionar F5 o Ctrl+F5 sobre el proyecto, Visual Studio 2022 muestra el mensaje "No se puede iniciar la depuración. El proyecto de inicio no se puede iniciar" y no ejecuta ninguna acción. El proyecto compila correctamente mediante MSBuild, por lo que no se trata de un error de código ni de configuración del proyecto.</w:t>
      </w:r>
    </w:p>
    <w:p>
      <w:pPr>
        <w:spacing w:after="100" w:before="220"/>
      </w:pPr>
      <w:r>
        <w:rPr>
          <w:rFonts w:ascii="Calibri" w:cs="Calibri" w:eastAsia="Calibri" w:hAnsi="Calibri"/>
          <w:b/>
          <w:bCs/>
          <w:sz w:val="21"/>
          <w:szCs w:val="21"/>
        </w:rPr>
        <w:t xml:space="preserve">7.2 Pruebas de descarte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3800"/>
      </w:tblGrid>
      <w:tr>
        <w:trPr>
          <w:tblHeader/>
        </w:trPr>
        <w:tc>
          <w:tcPr>
            <w:tcW w:type="dxa" w:w="55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Prueba</w:t>
            </w:r>
          </w:p>
        </w:tc>
        <w:tc>
          <w:tcPr>
            <w:tcW w:type="dxa" w:w="38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Resultado</w:t>
            </w:r>
          </w:p>
        </w:tc>
      </w:tr>
      <w:tr>
        <w:tc>
          <w:tcPr>
            <w:tcW w:type="dxa" w:w="55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Compilación con MSBuild</w:t>
            </w:r>
          </w:p>
        </w:tc>
        <w:tc>
          <w:tcPr>
            <w:tcW w:type="dxa" w:w="38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Correcta — descarta error de código</w:t>
            </w:r>
          </w:p>
        </w:tc>
      </w:tr>
      <w:tr>
        <w:tc>
          <w:tcPr>
            <w:tcW w:type="dxa" w:w="55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Proyecto de prueba en .NET Core con F5</w:t>
            </w:r>
          </w:p>
        </w:tc>
        <w:tc>
          <w:tcPr>
            <w:tcW w:type="dxa" w:w="38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Funciona — descarta fallo de Visual Studio o IIS Express</w:t>
            </w:r>
          </w:p>
        </w:tc>
      </w:tr>
      <w:tr>
        <w:tc>
          <w:tcPr>
            <w:tcW w:type="dxa" w:w="55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Verificación de Microsoft.WebApplication.targets</w:t>
            </w:r>
          </w:p>
        </w:tc>
        <w:tc>
          <w:tcPr>
            <w:tcW w:type="dxa" w:w="38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Presente en la ruta v17.0</w:t>
            </w:r>
          </w:p>
        </w:tc>
      </w:tr>
      <w:tr>
        <w:tc>
          <w:tcPr>
            <w:tcW w:type="dxa" w:w="55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Verificación de ensamblado del componente web</w:t>
            </w:r>
          </w:p>
        </w:tc>
        <w:tc>
          <w:tcPr>
            <w:tcW w:type="dxa" w:w="38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Microsoft.VisualStudio.Web.Application.dll presente</w:t>
            </w:r>
          </w:p>
        </w:tc>
      </w:tr>
      <w:tr>
        <w:tc>
          <w:tcPr>
            <w:tcW w:type="dxa" w:w="55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Verificación de registro del tipo de proyecto web</w:t>
            </w:r>
          </w:p>
        </w:tc>
        <w:tc>
          <w:tcPr>
            <w:tcW w:type="dxa" w:w="38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Registrado en WebApplicationProject.pkgdef</w:t>
            </w:r>
          </w:p>
        </w:tc>
      </w:tr>
      <w:tr>
        <w:tc>
          <w:tcPr>
            <w:tcW w:type="dxa" w:w="55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Limpieza de caché .vs y reconstrucción</w:t>
            </w:r>
          </w:p>
        </w:tc>
        <w:tc>
          <w:tcPr>
            <w:tcW w:type="dxa" w:w="38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Sin cambio</w:t>
            </w:r>
          </w:p>
        </w:tc>
      </w:tr>
      <w:tr>
        <w:tc>
          <w:tcPr>
            <w:tcW w:type="dxa" w:w="55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Corrección de directivas contradictorias en .csproj.user</w:t>
            </w:r>
          </w:p>
        </w:tc>
        <w:tc>
          <w:tcPr>
            <w:tcW w:type="dxa" w:w="38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Sin cambio</w:t>
            </w:r>
          </w:p>
        </w:tc>
      </w:tr>
      <w:tr>
        <w:tc>
          <w:tcPr>
            <w:tcW w:type="dxa" w:w="55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Alineación del .csproj con plantilla oficial de referencia</w:t>
            </w:r>
          </w:p>
        </w:tc>
        <w:tc>
          <w:tcPr>
            <w:tcW w:type="dxa" w:w="38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Sin cambio</w:t>
            </w:r>
          </w:p>
        </w:tc>
      </w:tr>
      <w:tr>
        <w:tc>
          <w:tcPr>
            <w:tcW w:type="dxa" w:w="55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Ejecución de devenv /updateconfiguration</w:t>
            </w:r>
          </w:p>
        </w:tc>
        <w:tc>
          <w:tcPr>
            <w:tcW w:type="dxa" w:w="38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Sin cambio</w:t>
            </w:r>
          </w:p>
        </w:tc>
      </w:tr>
    </w:tbl>
    <w:p>
      <w:pPr>
        <w:spacing w:after="100" w:before="220"/>
      </w:pPr>
      <w:r>
        <w:rPr>
          <w:rFonts w:ascii="Calibri" w:cs="Calibri" w:eastAsia="Calibri" w:hAnsi="Calibri"/>
          <w:b/>
          <w:bCs/>
          <w:sz w:val="21"/>
          <w:szCs w:val="21"/>
        </w:rPr>
        <w:t xml:space="preserve">7.3 Causa probable</w:t>
      </w:r>
    </w:p>
    <w:p>
      <w:pPr>
        <w:spacing w:after="120"/>
        <w:jc w:val="both"/>
      </w:pPr>
      <w:r>
        <w:rPr>
          <w:rFonts w:ascii="Calibri" w:cs="Calibri" w:eastAsia="Calibri" w:hAnsi="Calibri"/>
          <w:sz w:val="20"/>
          <w:szCs w:val="20"/>
        </w:rPr>
        <w:t xml:space="preserve">El registro de actividad de Visual Studio (ActivityLog.xml) contiene el siguiente error:</w:t>
      </w:r>
    </w:p>
    <w:p>
      <w:pPr>
        <w:shd w:fill="F0F0F0" w:color="auto" w:val="clear"/>
        <w:spacing w:after="120" w:before="60"/>
      </w:pPr>
      <w:r>
        <w:rPr>
          <w:rFonts w:ascii="Consolas" w:cs="Consolas" w:eastAsia="Consolas" w:hAnsi="Consolas"/>
          <w:sz w:val="17"/>
          <w:szCs w:val="17"/>
        </w:rPr>
        <w:t xml:space="preserve">Unable to load DLL 'PkgDefMgmt.dll' or one of its dependencies (0x8007007E)</w:t>
      </w:r>
    </w:p>
    <w:p>
      <w:pPr>
        <w:spacing w:after="120"/>
        <w:jc w:val="both"/>
      </w:pPr>
      <w:r>
        <w:rPr>
          <w:rFonts w:ascii="Calibri" w:cs="Calibri" w:eastAsia="Calibri" w:hAnsi="Calibri"/>
          <w:sz w:val="20"/>
          <w:szCs w:val="20"/>
        </w:rPr>
        <w:t xml:space="preserve">PkgDefMgmt.dll es el componente encargado de fusionar los registros de paquetes de Visual Studio en su registro privado interno. Su falla explica de forma consistente los tres síntomas observados en conjunto: la plantilla clásica "ASP.NET Web Application (.NET Framework)" no aparece en el diálogo de nuevo proyecto, el tipo de proyecto web no se aplica al abrir la solución, y en consecuencia Visual Studio trata el proyecto como una biblioteca de clases, la cual por definición no puede iniciarse.</w:t>
      </w:r>
    </w:p>
    <w:p>
      <w:pPr>
        <w:spacing w:after="120"/>
        <w:jc w:val="both"/>
      </w:pPr>
      <w:r>
        <w:rPr>
          <w:rFonts w:ascii="Calibri" w:cs="Calibri" w:eastAsia="Calibri" w:hAnsi="Calibri"/>
          <w:sz w:val="20"/>
          <w:szCs w:val="20"/>
        </w:rPr>
        <w:t xml:space="preserve">Nota de precisión técnica: esta es la hipótesis mejor sustentada por la evidencia disponible, no una causa confirmada de forma definitiva. La confirmación requeriría inspeccionar el registro privado de Visual Studio, operación que exige privilegios de administrador sobre la estación.</w:t>
      </w:r>
    </w:p>
    <w:p>
      <w:pPr>
        <w:spacing w:after="100" w:before="220"/>
      </w:pPr>
      <w:r>
        <w:rPr>
          <w:rFonts w:ascii="Calibri" w:cs="Calibri" w:eastAsia="Calibri" w:hAnsi="Calibri"/>
          <w:b/>
          <w:bCs/>
          <w:sz w:val="21"/>
          <w:szCs w:val="21"/>
        </w:rPr>
        <w:t xml:space="preserve">7.4 Impacto</w:t>
      </w:r>
    </w:p>
    <w:p>
      <w:pPr>
        <w:spacing w:after="120"/>
        <w:jc w:val="both"/>
      </w:pPr>
      <w:r>
        <w:rPr>
          <w:rFonts w:ascii="Calibri" w:cs="Calibri" w:eastAsia="Calibri" w:hAnsi="Calibri"/>
          <w:sz w:val="20"/>
          <w:szCs w:val="20"/>
        </w:rPr>
        <w:t xml:space="preserve">Impacto bajo y acotado al entorno de desarrollo local. No afecta la aplicación, su comportamiento funcional ni su futuro despliegue en producción. El desarrollo continúa sin bloqueo mediante el mecanismo alterno descrito en la sección 8, y la depuración con puntos de interrupción sigue disponible mediante la función "Adjuntar al proceso".</w:t>
      </w:r>
    </w:p>
    <w:p>
      <w:pPr>
        <w:spacing w:after="100" w:before="220"/>
      </w:pPr>
      <w:r>
        <w:rPr>
          <w:rFonts w:ascii="Calibri" w:cs="Calibri" w:eastAsia="Calibri" w:hAnsi="Calibri"/>
          <w:b/>
          <w:bCs/>
          <w:sz w:val="21"/>
          <w:szCs w:val="21"/>
        </w:rPr>
        <w:t xml:space="preserve">7.5 Reparación recomendada</w:t>
      </w:r>
    </w:p>
    <w:p>
      <w:pPr>
        <w:spacing w:after="120"/>
        <w:jc w:val="both"/>
      </w:pPr>
      <w:r>
        <w:rPr>
          <w:rFonts w:ascii="Calibri" w:cs="Calibri" w:eastAsia="Calibri" w:hAnsi="Calibri"/>
          <w:sz w:val="20"/>
          <w:szCs w:val="20"/>
        </w:rPr>
        <w:t xml:space="preserve">Ejecutar la opción "Reparar" desde el Visual Studio Installer, que reconstruye los registros de paquetes dañados. El proceso toma entre 20 y 40 minutos y requiere privilegios de administrador.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Aspecto</w:t>
            </w:r>
          </w:p>
        </w:tc>
        <w:tc>
          <w:tcPr>
            <w:tcW w:type="dxa" w:w="67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Detalle</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Prioridad</w:t>
            </w:r>
          </w:p>
        </w:tc>
        <w:tc>
          <w:tcPr>
            <w:tcW w:type="dxa" w:w="6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Media — no bloquea el avance del proyecto</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Ventana sugerida</w:t>
            </w:r>
          </w:p>
        </w:tc>
        <w:tc>
          <w:tcPr>
            <w:tcW w:type="dxa" w:w="6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Fuera de horario productivo</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Requisito</w:t>
            </w:r>
          </w:p>
        </w:tc>
        <w:tc>
          <w:tcPr>
            <w:tcW w:type="dxa" w:w="6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Privilegios de administrador sobre la estación</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Plan de reversa</w:t>
            </w:r>
          </w:p>
        </w:tc>
        <w:tc>
          <w:tcPr>
            <w:tcW w:type="dxa" w:w="6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No aplica: la reparación no altera el código del proyecto</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Verificación posterior</w:t>
            </w:r>
          </w:p>
        </w:tc>
        <w:tc>
          <w:tcPr>
            <w:tcW w:type="dxa" w:w="6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Abrir la solución y confirmar que F5 inicia la aplicación</w:t>
            </w:r>
          </w:p>
        </w:tc>
      </w:tr>
    </w:tbl>
    <w:p>
      <w:pPr>
        <w:pageBreakBefore/>
        <w:spacing w:after="140" w:before="0"/>
      </w:pPr>
      <w:r>
        <w:rPr>
          <w:rFonts w:ascii="Calibri" w:cs="Calibri" w:eastAsia="Calibri" w:hAnsi="Calibri"/>
          <w:b/>
          <w:bCs/>
          <w:color w:val="1F4E79"/>
          <w:sz w:val="24"/>
          <w:szCs w:val="24"/>
        </w:rPr>
        <w:t xml:space="preserve">8. Mecanismo de ejecución implementado</w:t>
      </w:r>
    </w:p>
    <w:p>
      <w:pPr>
        <w:spacing w:after="120"/>
        <w:jc w:val="both"/>
      </w:pPr>
      <w:r>
        <w:rPr>
          <w:rFonts w:ascii="Calibri" w:cs="Calibri" w:eastAsia="Calibri" w:hAnsi="Calibri"/>
          <w:sz w:val="20"/>
          <w:szCs w:val="20"/>
        </w:rPr>
        <w:t xml:space="preserve">Para desacoplar el desarrollo de la incidencia anterior se implementó un mecanismo de ejecución basado en IIS Express, equivalente al que utiliza internamente Visual Studio.</w:t>
      </w:r>
    </w:p>
    <w:p>
      <w:pPr>
        <w:spacing w:after="100" w:before="220"/>
      </w:pPr>
      <w:r>
        <w:rPr>
          <w:rFonts w:ascii="Calibri" w:cs="Calibri" w:eastAsia="Calibri" w:hAnsi="Calibri"/>
          <w:b/>
          <w:bCs/>
          <w:sz w:val="21"/>
          <w:szCs w:val="21"/>
        </w:rPr>
        <w:t xml:space="preserve">8.1 Ejecución del portal</w:t>
      </w:r>
    </w:p>
    <w:p>
      <w:pPr>
        <w:spacing w:after="120"/>
        <w:jc w:val="both"/>
      </w:pPr>
      <w:r>
        <w:rPr>
          <w:rFonts w:ascii="Calibri" w:cs="Calibri" w:eastAsia="Calibri" w:hAnsi="Calibri"/>
          <w:sz w:val="20"/>
          <w:szCs w:val="20"/>
        </w:rPr>
        <w:t xml:space="preserve">Ejecutar el siguiente script desde PowerShell, o mediante clic derecho sobre el archivo y la opción "Ejecutar con PowerShell":</w:t>
      </w:r>
    </w:p>
    <w:p>
      <w:pPr>
        <w:shd w:fill="F0F0F0" w:color="auto" w:val="clear"/>
        <w:spacing w:after="120" w:before="60"/>
      </w:pPr>
      <w:r>
        <w:rPr>
          <w:rFonts w:ascii="Consolas" w:cs="Consolas" w:eastAsia="Consolas" w:hAnsi="Consolas"/>
          <w:sz w:val="17"/>
          <w:szCs w:val="17"/>
        </w:rPr>
        <w:t xml:space="preserve">C:\CLAUDE CODE\Proyecto Portal Crystal\PortalReportesCrystal\Ejecutar-Portal.ps1</w:t>
      </w:r>
    </w:p>
    <w:p>
      <w:pPr>
        <w:spacing w:after="120"/>
        <w:jc w:val="both"/>
      </w:pPr>
      <w:r>
        <w:rPr>
          <w:rFonts w:ascii="Calibri" w:cs="Calibri" w:eastAsia="Calibri" w:hAnsi="Calibri"/>
          <w:sz w:val="20"/>
          <w:szCs w:val="20"/>
        </w:rPr>
        <w:t xml:space="preserve">El script compila el proyecto, detiene instancias previas del servidor, inicia IIS Express y abre el navegador. El portal queda disponible en:</w:t>
      </w:r>
    </w:p>
    <w:p>
      <w:pPr>
        <w:shd w:fill="F0F0F0" w:color="auto" w:val="clear"/>
        <w:spacing w:after="120" w:before="60"/>
      </w:pPr>
      <w:r>
        <w:rPr>
          <w:rFonts w:ascii="Consolas" w:cs="Consolas" w:eastAsia="Consolas" w:hAnsi="Consolas"/>
          <w:sz w:val="17"/>
          <w:szCs w:val="17"/>
        </w:rPr>
        <w:t xml:space="preserve">http://localhost:58172/</w:t>
      </w:r>
    </w:p>
    <w:p>
      <w:pPr>
        <w:spacing w:after="120"/>
        <w:jc w:val="both"/>
      </w:pPr>
      <w:r>
        <w:rPr>
          <w:rFonts w:ascii="Calibri" w:cs="Calibri" w:eastAsia="Calibri" w:hAnsi="Calibri"/>
          <w:sz w:val="20"/>
          <w:szCs w:val="20"/>
        </w:rPr>
        <w:t xml:space="preserve">Para detener el servidor basta con cerrar la ventana de PowerShell o presionar Ctrl+C.</w:t>
      </w:r>
    </w:p>
    <w:p>
      <w:pPr>
        <w:spacing w:after="100" w:before="220"/>
      </w:pPr>
      <w:r>
        <w:rPr>
          <w:rFonts w:ascii="Calibri" w:cs="Calibri" w:eastAsia="Calibri" w:hAnsi="Calibri"/>
          <w:b/>
          <w:bCs/>
          <w:sz w:val="21"/>
          <w:szCs w:val="21"/>
        </w:rPr>
        <w:t xml:space="preserve">8.2 Depuración con puntos de interrupción</w:t>
      </w:r>
    </w:p>
    <w:p>
      <w:pPr>
        <w:spacing w:after="120"/>
        <w:jc w:val="both"/>
      </w:pPr>
      <w:r>
        <w:rPr>
          <w:rFonts w:ascii="Calibri" w:cs="Calibri" w:eastAsia="Calibri" w:hAnsi="Calibri"/>
          <w:sz w:val="20"/>
          <w:szCs w:val="20"/>
        </w:rPr>
        <w:t xml:space="preserve">Con el portal en ejecución, en Visual Studio ir al menú Depurar, seleccionar "Adjuntar al proceso", ubicar iisexpress.exe y adjuntar. Los puntos de interrupción en los controladores funcionan con normalidad.</w:t>
      </w:r>
    </w:p>
    <w:p>
      <w:pPr>
        <w:spacing w:after="100" w:before="220"/>
      </w:pPr>
      <w:r>
        <w:rPr>
          <w:rFonts w:ascii="Calibri" w:cs="Calibri" w:eastAsia="Calibri" w:hAnsi="Calibri"/>
          <w:b/>
          <w:bCs/>
          <w:sz w:val="21"/>
          <w:szCs w:val="21"/>
        </w:rPr>
        <w:t xml:space="preserve">8.3 Nota sobre la autenticación en IIS Express</w:t>
      </w:r>
    </w:p>
    <w:p>
      <w:pPr>
        <w:spacing w:after="120"/>
        <w:jc w:val="both"/>
      </w:pPr>
      <w:r>
        <w:rPr>
          <w:rFonts w:ascii="Calibri" w:cs="Calibri" w:eastAsia="Calibri" w:hAnsi="Calibri"/>
          <w:sz w:val="20"/>
          <w:szCs w:val="20"/>
        </w:rPr>
        <w:t xml:space="preserve">La sección system.webServer / security / authentication se encuentra deliberadamente comentada en el archivo Web.config. IIS Express bloquea esa sección de forma predeterminada y su presencia provoca el error HTTP 500.19. La autenticación se configura en el archivo applicationhost.iisexpress.config, donde las secciones windowsAuthentication y anonymousAuthentication fueron desbloqueadas y configuradas.</w:t>
      </w:r>
    </w:p>
    <w:p>
      <w:pPr>
        <w:spacing w:after="120"/>
        <w:jc w:val="both"/>
      </w:pPr>
      <w:r>
        <w:rPr>
          <w:rFonts w:ascii="Calibri" w:cs="Calibri" w:eastAsia="Calibri" w:hAnsi="Calibri"/>
          <w:sz w:val="20"/>
          <w:szCs w:val="20"/>
        </w:rPr>
        <w:t xml:space="preserve">Al desplegar en el servidor de IIS de producción, esa sección del Web.config deberá descomentarse, ya que en IIS completo sí es la ubicación correcta.</w:t>
      </w:r>
    </w:p>
    <w:p>
      <w:pPr>
        <w:spacing w:after="140" w:before="320"/>
      </w:pPr>
      <w:r>
        <w:rPr>
          <w:rFonts w:ascii="Calibri" w:cs="Calibri" w:eastAsia="Calibri" w:hAnsi="Calibri"/>
          <w:b/>
          <w:bCs/>
          <w:color w:val="1F4E79"/>
          <w:sz w:val="24"/>
          <w:szCs w:val="24"/>
        </w:rPr>
        <w:t xml:space="preserve">9. Pruebas de validación ejecutadas</w:t>
      </w:r>
    </w:p>
    <w:p>
      <w:pPr>
        <w:spacing w:after="120"/>
        <w:jc w:val="both"/>
      </w:pPr>
      <w:r>
        <w:rPr>
          <w:rFonts w:ascii="Calibri" w:cs="Calibri" w:eastAsia="Calibri" w:hAnsi="Calibri"/>
          <w:sz w:val="20"/>
          <w:szCs w:val="20"/>
        </w:rPr>
        <w:t xml:space="preserve">Las siguientes pruebas se ejecutaron sobre la aplicación en funcionamiento. Todos los resultados corresponden a verificaciones reales, no a supuestos.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400"/>
        <w:gridCol w:w="3060"/>
      </w:tblGrid>
      <w:tr>
        <w:trPr>
          <w:tblHeader/>
        </w:trPr>
        <w:tc>
          <w:tcPr>
            <w:tcW w:type="dxa" w:w="29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Prueba</w:t>
            </w:r>
          </w:p>
        </w:tc>
        <w:tc>
          <w:tcPr>
            <w:tcW w:type="dxa" w:w="34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Método</w:t>
            </w:r>
          </w:p>
        </w:tc>
        <w:tc>
          <w:tcPr>
            <w:tcW w:type="dxa" w:w="30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Resultado</w:t>
            </w:r>
          </w:p>
        </w:tc>
      </w:tr>
      <w:tr>
        <w:tc>
          <w:tcPr>
            <w:tcW w:type="dxa" w:w="2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Compilación del proyecto</w:t>
            </w:r>
          </w:p>
        </w:tc>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MSBuild sobre el .csproj</w:t>
            </w:r>
          </w:p>
        </w:tc>
        <w:tc>
          <w:tcPr>
            <w:tcW w:type="dxa" w:w="30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Correcta, sin errores</w:t>
            </w:r>
          </w:p>
        </w:tc>
      </w:tr>
      <w:tr>
        <w:tc>
          <w:tcPr>
            <w:tcW w:type="dxa" w:w="2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Disponibilidad del portal</w:t>
            </w:r>
          </w:p>
        </w:tc>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Petición HTTP a la raíz del sitio</w:t>
            </w:r>
          </w:p>
        </w:tc>
        <w:tc>
          <w:tcPr>
            <w:tcW w:type="dxa" w:w="30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HTTP 200</w:t>
            </w:r>
          </w:p>
        </w:tc>
      </w:tr>
      <w:tr>
        <w:tc>
          <w:tcPr>
            <w:tcW w:type="dxa" w:w="2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Autenticación integrada de Windows</w:t>
            </w:r>
          </w:p>
        </w:tc>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Petición con credenciales del usuario de dominio</w:t>
            </w:r>
          </w:p>
        </w:tc>
        <w:tc>
          <w:tcPr>
            <w:tcW w:type="dxa" w:w="30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Usuario reconocido correctamente</w:t>
            </w:r>
          </w:p>
        </w:tc>
      </w:tr>
      <w:tr>
        <w:tc>
          <w:tcPr>
            <w:tcW w:type="dxa" w:w="2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Enrutamiento MVC</w:t>
            </w:r>
          </w:p>
        </w:tc>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Petición a /Reportes/Ver con archivo inexistente</w:t>
            </w:r>
          </w:p>
        </w:tc>
        <w:tc>
          <w:tcPr>
            <w:tcW w:type="dxa" w:w="30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HTTP 404 — respuesta esperada del controlador</w:t>
            </w:r>
          </w:p>
        </w:tc>
      </w:tr>
      <w:tr>
        <w:tc>
          <w:tcPr>
            <w:tcW w:type="dxa" w:w="2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Listado de reportes</w:t>
            </w:r>
          </w:p>
        </w:tc>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Lectura de la carpeta Reportes</w:t>
            </w:r>
          </w:p>
        </w:tc>
        <w:tc>
          <w:tcPr>
            <w:tcW w:type="dxa" w:w="30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Reporte listado con sus acciones</w:t>
            </w:r>
          </w:p>
        </w:tc>
      </w:tr>
      <w:tr>
        <w:tc>
          <w:tcPr>
            <w:tcW w:type="dxa" w:w="2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Carga de archivo .rpt</w:t>
            </w:r>
          </w:p>
        </w:tc>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ReportDocument.Load() sobre WorldSalesReport.rpt</w:t>
            </w:r>
          </w:p>
        </w:tc>
        <w:tc>
          <w:tcPr>
            <w:tcW w:type="dxa" w:w="30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Carga correcta</w:t>
            </w:r>
          </w:p>
        </w:tc>
      </w:tr>
      <w:tr>
        <w:tc>
          <w:tcPr>
            <w:tcW w:type="dxa" w:w="2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Exportación a PDF</w:t>
            </w:r>
          </w:p>
        </w:tc>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Descarga desde el portal</w:t>
            </w:r>
          </w:p>
        </w:tc>
        <w:tc>
          <w:tcPr>
            <w:tcW w:type="dxa" w:w="30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HTTP 200, 70 KB, cabecera %PDF- válida</w:t>
            </w:r>
          </w:p>
        </w:tc>
      </w:tr>
      <w:tr>
        <w:tc>
          <w:tcPr>
            <w:tcW w:type="dxa" w:w="2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Exportación a Excel</w:t>
            </w:r>
          </w:p>
        </w:tc>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Descarga desde el portal</w:t>
            </w:r>
          </w:p>
        </w:tc>
        <w:tc>
          <w:tcPr>
            <w:tcW w:type="dxa" w:w="30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HTTP 200</w:t>
            </w:r>
          </w:p>
        </w:tc>
      </w:tr>
      <w:tr>
        <w:tc>
          <w:tcPr>
            <w:tcW w:type="dxa" w:w="2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Manejo de error de conexión</w:t>
            </w:r>
          </w:p>
        </w:tc>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Reporte que requiere base de datos no disponible</w:t>
            </w:r>
          </w:p>
        </w:tc>
        <w:tc>
          <w:tcPr>
            <w:tcW w:type="dxa" w:w="30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Mensaje controlado, sin exponer datos internos</w:t>
            </w:r>
          </w:p>
        </w:tc>
      </w:tr>
    </w:tbl>
    <w:p>
      <w:pPr>
        <w:spacing w:after="100" w:before="220"/>
      </w:pPr>
      <w:r>
        <w:rPr>
          <w:rFonts w:ascii="Calibri" w:cs="Calibri" w:eastAsia="Calibri" w:hAnsi="Calibri"/>
          <w:b/>
          <w:bCs/>
          <w:sz w:val="21"/>
          <w:szCs w:val="21"/>
        </w:rPr>
        <w:t xml:space="preserve">9.1 Hallazgo sobre los reportes de muestra</w:t>
      </w:r>
    </w:p>
    <w:p>
      <w:pPr>
        <w:spacing w:after="120"/>
        <w:jc w:val="both"/>
      </w:pPr>
      <w:r>
        <w:rPr>
          <w:rFonts w:ascii="Calibri" w:cs="Calibri" w:eastAsia="Calibri" w:hAnsi="Calibri"/>
          <w:sz w:val="20"/>
          <w:szCs w:val="20"/>
        </w:rPr>
        <w:t xml:space="preserve">Solo funcionan sin base de datos los archivos .rpt que contienen datos guardados dentro del propio archivo. La base de datos de muestra Xtreme del SDK no se encuentra instalada en la estación.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1600"/>
        <w:gridCol w:w="3860"/>
      </w:tblGrid>
      <w:tr>
        <w:trPr>
          <w:tblHeader/>
        </w:trPr>
        <w:tc>
          <w:tcPr>
            <w:tcW w:type="dxa" w:w="39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Archivo de muestra</w:t>
            </w:r>
          </w:p>
        </w:tc>
        <w:tc>
          <w:tcPr>
            <w:tcW w:type="dxa" w:w="16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Tamaño</w:t>
            </w:r>
          </w:p>
        </w:tc>
        <w:tc>
          <w:tcPr>
            <w:tcW w:type="dxa" w:w="38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Comportamiento</w:t>
            </w:r>
          </w:p>
        </w:tc>
      </w:tr>
      <w:tr>
        <w:tc>
          <w:tcPr>
            <w:tcW w:type="dxa" w:w="3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WorldSalesReport.rpt</w:t>
            </w:r>
          </w:p>
        </w:tc>
        <w:tc>
          <w:tcPr>
            <w:tcW w:type="dxa" w:w="16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408 KB</w:t>
            </w:r>
          </w:p>
        </w:tc>
        <w:tc>
          <w:tcPr>
            <w:tcW w:type="dxa" w:w="38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Exporta correctamente — contiene datos guardados</w:t>
            </w:r>
          </w:p>
        </w:tc>
      </w:tr>
      <w:tr>
        <w:tc>
          <w:tcPr>
            <w:tcW w:type="dxa" w:w="39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Hierarchical Grouping.rpt</w:t>
            </w:r>
          </w:p>
        </w:tc>
        <w:tc>
          <w:tcPr>
            <w:tcW w:type="dxa" w:w="16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272 KB</w:t>
            </w:r>
          </w:p>
        </w:tc>
        <w:tc>
          <w:tcPr>
            <w:tcW w:type="dxa" w:w="38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Error de conexión — requiere base de datos activa</w:t>
            </w:r>
          </w:p>
        </w:tc>
      </w:tr>
    </w:tbl>
    <w:p>
      <w:pPr>
        <w:spacing w:after="100"/>
      </w:pPr>
    </w:p>
    <w:p>
      <w:pPr>
        <w:spacing w:after="120"/>
        <w:jc w:val="both"/>
      </w:pPr>
      <w:r>
        <w:rPr>
          <w:rFonts w:ascii="Calibri" w:cs="Calibri" w:eastAsia="Calibri" w:hAnsi="Calibri"/>
          <w:sz w:val="20"/>
          <w:szCs w:val="20"/>
        </w:rPr>
        <w:t xml:space="preserve">Este comportamiento es correcto y esperado: no constituye un defecto de la aplicación.</w:t>
      </w:r>
    </w:p>
    <w:p>
      <w:pPr>
        <w:pageBreakBefore/>
        <w:spacing w:after="140" w:before="0"/>
      </w:pPr>
      <w:r>
        <w:rPr>
          <w:rFonts w:ascii="Calibri" w:cs="Calibri" w:eastAsia="Calibri" w:hAnsi="Calibri"/>
          <w:b/>
          <w:bCs/>
          <w:color w:val="1F4E79"/>
          <w:sz w:val="24"/>
          <w:szCs w:val="24"/>
        </w:rPr>
        <w:t xml:space="preserve">10. Manejo de errores implementado</w:t>
      </w:r>
    </w:p>
    <w:p>
      <w:pPr>
        <w:spacing w:after="120"/>
        <w:jc w:val="both"/>
      </w:pPr>
      <w:r>
        <w:rPr>
          <w:rFonts w:ascii="Calibri" w:cs="Calibri" w:eastAsia="Calibri" w:hAnsi="Calibri"/>
          <w:sz w:val="20"/>
          <w:szCs w:val="20"/>
        </w:rPr>
        <w:t xml:space="preserve">Durante las pruebas se detectó que un fallo de conexión a base de datos producía la página de error predeterminada de ASP.NET, la cual expone rutas internas del servidor, nombres de archivos y trazas de excepción. Esto representa un riesgo de divulgación de información y una experiencia inadecuada para el usuario final.</w:t>
      </w:r>
    </w:p>
    <w:p>
      <w:pPr>
        <w:spacing w:after="120"/>
        <w:jc w:val="both"/>
      </w:pPr>
      <w:r>
        <w:rPr>
          <w:rFonts w:ascii="Calibri" w:cs="Calibri" w:eastAsia="Calibri" w:hAnsi="Calibri"/>
          <w:sz w:val="20"/>
          <w:szCs w:val="20"/>
        </w:rPr>
        <w:t xml:space="preserve">Se implementó el siguiente control:</w:t>
      </w:r>
    </w:p>
    <w:p>
      <w:pPr>
        <w:pStyle w:val="ListParagraph"/>
        <w:numPr>
          <w:ilvl w:val="0"/>
          <w:numId w:val="1"/>
        </w:numPr>
        <w:spacing w:after="60"/>
      </w:pPr>
      <w:r>
        <w:rPr>
          <w:rFonts w:ascii="Calibri" w:cs="Calibri" w:eastAsia="Calibri" w:hAnsi="Calibri"/>
          <w:sz w:val="20"/>
          <w:szCs w:val="20"/>
        </w:rPr>
        <w:t xml:space="preserve">Captura de excepciones del motor de Crystal Reports y de errores generales durante la exportación.</w:t>
      </w:r>
    </w:p>
    <w:p>
      <w:pPr>
        <w:pStyle w:val="ListParagraph"/>
        <w:numPr>
          <w:ilvl w:val="0"/>
          <w:numId w:val="1"/>
        </w:numPr>
        <w:spacing w:after="60"/>
      </w:pPr>
      <w:r>
        <w:rPr>
          <w:rFonts w:ascii="Calibri" w:cs="Calibri" w:eastAsia="Calibri" w:hAnsi="Calibri"/>
          <w:sz w:val="20"/>
          <w:szCs w:val="20"/>
        </w:rPr>
        <w:t xml:space="preserve">Registro del detalle técnico completo en el log del servidor, disponible para el área de Tecnología.</w:t>
      </w:r>
    </w:p>
    <w:p>
      <w:pPr>
        <w:pStyle w:val="ListParagraph"/>
        <w:numPr>
          <w:ilvl w:val="0"/>
          <w:numId w:val="1"/>
        </w:numPr>
        <w:spacing w:after="60"/>
      </w:pPr>
      <w:r>
        <w:rPr>
          <w:rFonts w:ascii="Calibri" w:cs="Calibri" w:eastAsia="Calibri" w:hAnsi="Calibri"/>
          <w:sz w:val="20"/>
          <w:szCs w:val="20"/>
        </w:rPr>
        <w:t xml:space="preserve">Presentación al usuario de un mensaje comprensible, sin información interna del sistema.</w:t>
      </w:r>
    </w:p>
    <w:p>
      <w:pPr>
        <w:pStyle w:val="ListParagraph"/>
        <w:numPr>
          <w:ilvl w:val="0"/>
          <w:numId w:val="1"/>
        </w:numPr>
        <w:spacing w:after="60"/>
      </w:pPr>
      <w:r>
        <w:rPr>
          <w:rFonts w:ascii="Calibri" w:cs="Calibri" w:eastAsia="Calibri" w:hAnsi="Calibri"/>
          <w:sz w:val="20"/>
          <w:szCs w:val="20"/>
        </w:rPr>
        <w:t xml:space="preserve">Traducción de los errores más frecuentes a lenguaje de negocio, con orientación sobre la acción a seguir.</w:t>
      </w:r>
    </w:p>
    <w:p>
      <w:pPr>
        <w:spacing w:after="100"/>
      </w:pPr>
    </w:p>
    <w:p>
      <w:pPr>
        <w:spacing w:after="120"/>
        <w:jc w:val="both"/>
      </w:pPr>
      <w:r>
        <w:rPr>
          <w:rFonts w:ascii="Calibri" w:cs="Calibri" w:eastAsia="Calibri" w:hAnsi="Calibri"/>
          <w:sz w:val="20"/>
          <w:szCs w:val="20"/>
        </w:rPr>
        <w:t xml:space="preserve">Ejemplo del mensaje presentado ante un fallo de conexión a la base de datos:</w:t>
      </w:r>
    </w:p>
    <w:p>
      <w:pPr>
        <w:shd w:fill="F0F0F0" w:color="auto" w:val="clear"/>
        <w:spacing w:after="120" w:before="60"/>
      </w:pPr>
      <w:r>
        <w:rPr>
          <w:rFonts w:ascii="Consolas" w:cs="Consolas" w:eastAsia="Consolas" w:hAnsi="Consolas"/>
          <w:sz w:val="17"/>
          <w:szCs w:val="17"/>
        </w:rPr>
        <w:t xml:space="preserve">No fue posible conectar con la base de datos del reporte. Verifique que el
servidor de datos esté disponible y que el reporte tenga configuradas sus
credenciales de acceso.</w:t>
      </w:r>
    </w:p>
    <w:p>
      <w:pPr>
        <w:spacing w:after="140" w:before="320"/>
      </w:pPr>
      <w:r>
        <w:rPr>
          <w:rFonts w:ascii="Calibri" w:cs="Calibri" w:eastAsia="Calibri" w:hAnsi="Calibri"/>
          <w:b/>
          <w:bCs/>
          <w:color w:val="1F4E79"/>
          <w:sz w:val="24"/>
          <w:szCs w:val="24"/>
        </w:rPr>
        <w:t xml:space="preserve">11. Consideraciones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700"/>
        <w:gridCol w:w="4660"/>
      </w:tblGrid>
      <w:tr>
        <w:trPr>
          <w:tblHeader/>
        </w:trPr>
        <w:tc>
          <w:tcPr>
            <w:tcW w:type="dxa" w:w="30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Control</w:t>
            </w:r>
          </w:p>
        </w:tc>
        <w:tc>
          <w:tcPr>
            <w:tcW w:type="dxa" w:w="17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Estado</w:t>
            </w:r>
          </w:p>
        </w:tc>
        <w:tc>
          <w:tcPr>
            <w:tcW w:type="dxa" w:w="46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Observación</w:t>
            </w:r>
          </w:p>
        </w:tc>
      </w:tr>
      <w:t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Autenticación integrada de Windows</w:t>
            </w:r>
          </w:p>
        </w:tc>
        <w:tc>
          <w:tcPr>
            <w:tcW w:type="dxa" w:w="17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Implementado</w:t>
            </w:r>
          </w:p>
        </w:tc>
        <w:tc>
          <w:tcPr>
            <w:tcW w:type="dxa" w:w="4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Elimina la gestión de contraseñas propias de la aplicación.</w:t>
            </w:r>
          </w:p>
        </w:tc>
      </w:tr>
      <w:t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Bloqueo de acceso anónimo</w:t>
            </w:r>
          </w:p>
        </w:tc>
        <w:tc>
          <w:tcPr>
            <w:tcW w:type="dxa" w:w="17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Implementado</w:t>
            </w:r>
          </w:p>
        </w:tc>
        <w:tc>
          <w:tcPr>
            <w:tcW w:type="dxa" w:w="4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Directiva deny users="?" en Web.config.</w:t>
            </w:r>
          </w:p>
        </w:tc>
      </w:tr>
      <w:t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Restricción a nivel de controlador</w:t>
            </w:r>
          </w:p>
        </w:tc>
        <w:tc>
          <w:tcPr>
            <w:tcW w:type="dxa" w:w="17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Implementado</w:t>
            </w:r>
          </w:p>
        </w:tc>
        <w:tc>
          <w:tcPr>
            <w:tcW w:type="dxa" w:w="4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Atributo [Authorize] en ambos controladores.</w:t>
            </w:r>
          </w:p>
        </w:tc>
      </w:tr>
      <w:t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No exposición de trazas de error</w:t>
            </w:r>
          </w:p>
        </w:tc>
        <w:tc>
          <w:tcPr>
            <w:tcW w:type="dxa" w:w="17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Implementado</w:t>
            </w:r>
          </w:p>
        </w:tc>
        <w:tc>
          <w:tcPr>
            <w:tcW w:type="dxa" w:w="4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Mensajes controlados; detalle solo en el log del servidor.</w:t>
            </w:r>
          </w:p>
        </w:tc>
      </w:tr>
      <w:t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Liberación de recursos nativos</w:t>
            </w:r>
          </w:p>
        </w:tc>
        <w:tc>
          <w:tcPr>
            <w:tcW w:type="dxa" w:w="17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Implementado</w:t>
            </w:r>
          </w:p>
        </w:tc>
        <w:tc>
          <w:tcPr>
            <w:tcW w:type="dxa" w:w="4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Bloque finally con Close() y Dispose().</w:t>
            </w:r>
          </w:p>
        </w:tc>
      </w:tr>
      <w:t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Credenciales de base de datos</w:t>
            </w:r>
          </w:p>
        </w:tc>
        <w:tc>
          <w:tcPr>
            <w:tcW w:type="dxa" w:w="17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Pendiente</w:t>
            </w:r>
          </w:p>
        </w:tc>
        <w:tc>
          <w:tcPr>
            <w:tcW w:type="dxa" w:w="4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Ver recomendación en la sección 12.</w:t>
            </w:r>
          </w:p>
        </w:tc>
      </w:tr>
      <w:t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Modo debug desactivado</w:t>
            </w:r>
          </w:p>
        </w:tc>
        <w:tc>
          <w:tcPr>
            <w:tcW w:type="dxa" w:w="17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Pendiente</w:t>
            </w:r>
          </w:p>
        </w:tc>
        <w:tc>
          <w:tcPr>
            <w:tcW w:type="dxa" w:w="4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Cambiar a debug="false" antes del despliegue productivo.</w:t>
            </w:r>
          </w:p>
        </w:tc>
      </w:tr>
      <w:tr>
        <w:tc>
          <w:tcPr>
            <w:tcW w:type="dxa" w:w="30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Permisos por reporte o por área</w:t>
            </w:r>
          </w:p>
        </w:tc>
        <w:tc>
          <w:tcPr>
            <w:tcW w:type="dxa" w:w="17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Pendiente</w:t>
            </w:r>
          </w:p>
        </w:tc>
        <w:tc>
          <w:tcPr>
            <w:tcW w:type="dxa" w:w="46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Definir el modelo de autorización con las áreas usuarias.</w:t>
            </w:r>
          </w:p>
        </w:tc>
      </w:tr>
    </w:tbl>
    <w:p>
      <w:pPr>
        <w:spacing w:after="140" w:before="320"/>
      </w:pPr>
      <w:r>
        <w:rPr>
          <w:rFonts w:ascii="Calibri" w:cs="Calibri" w:eastAsia="Calibri" w:hAnsi="Calibri"/>
          <w:b/>
          <w:bCs/>
          <w:color w:val="1F4E79"/>
          <w:sz w:val="24"/>
          <w:szCs w:val="24"/>
        </w:rPr>
        <w:t xml:space="preserve">12. Riesgos identificados y controles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300"/>
        <w:gridCol w:w="4960"/>
      </w:tblGrid>
      <w:tr>
        <w:trPr>
          <w:tblHeader/>
        </w:trPr>
        <w:tc>
          <w:tcPr>
            <w:tcW w:type="dxa" w:w="31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Riesgo</w:t>
            </w:r>
          </w:p>
        </w:tc>
        <w:tc>
          <w:tcPr>
            <w:tcW w:type="dxa" w:w="13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Impacto</w:t>
            </w:r>
          </w:p>
        </w:tc>
        <w:tc>
          <w:tcPr>
            <w:tcW w:type="dxa" w:w="49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Control recomendado</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Credenciales de base de datos incrustadas en el código fuente</w:t>
            </w:r>
          </w:p>
        </w:tc>
        <w:tc>
          <w:tcPr>
            <w:tcW w:type="dxa" w:w="13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Alto</w:t>
            </w:r>
          </w:p>
        </w:tc>
        <w:tc>
          <w:tcPr>
            <w:tcW w:type="dxa" w:w="4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Almacenarlas en la sección connectionStrings de Web.config cifrada con aspnet_regiis -pe, o utilizar autenticación integrada de Windows contra el servidor de datos.</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Consumo creciente de memoria en el servidor web</w:t>
            </w:r>
          </w:p>
        </w:tc>
        <w:tc>
          <w:tcPr>
            <w:tcW w:type="dxa" w:w="13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Medio</w:t>
            </w:r>
          </w:p>
        </w:tc>
        <w:tc>
          <w:tcPr>
            <w:tcW w:type="dxa" w:w="4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Ya mitigado mediante la liberación explícita de recursos. Monitorear el proceso de IIS tras el despliegue.</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Acceso de usuarios a reportes fuera de su ámbito</w:t>
            </w:r>
          </w:p>
        </w:tc>
        <w:tc>
          <w:tcPr>
            <w:tcW w:type="dxa" w:w="13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Medio</w:t>
            </w:r>
          </w:p>
        </w:tc>
        <w:tc>
          <w:tcPr>
            <w:tcW w:type="dxa" w:w="4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Definir el modelo de permisos por reporte o por área antes de la puesta en producción.</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Reportes que requieren base de datos no disponible</w:t>
            </w:r>
          </w:p>
        </w:tc>
        <w:tc>
          <w:tcPr>
            <w:tcW w:type="dxa" w:w="13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Bajo</w:t>
            </w:r>
          </w:p>
        </w:tc>
        <w:tc>
          <w:tcPr>
            <w:tcW w:type="dxa" w:w="4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Ya mitigado con el manejo controlado de errores. Verificar conectividad durante la migración de reportes.</w:t>
            </w:r>
          </w:p>
        </w:tc>
      </w:tr>
      <w:tr>
        <w:tc>
          <w:tcPr>
            <w:tcW w:type="dxa" w:w="31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Exposición de información interna ante errores</w:t>
            </w:r>
          </w:p>
        </w:tc>
        <w:tc>
          <w:tcPr>
            <w:tcW w:type="dxa" w:w="13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Bajo</w:t>
            </w:r>
          </w:p>
        </w:tc>
        <w:tc>
          <w:tcPr>
            <w:tcW w:type="dxa" w:w="49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Ya mitigado. Confirmar debug="false" antes del despliegue productivo.</w:t>
            </w:r>
          </w:p>
        </w:tc>
      </w:tr>
    </w:tbl>
    <w:p>
      <w:pPr>
        <w:pageBreakBefore/>
        <w:spacing w:after="140" w:before="0"/>
      </w:pPr>
      <w:r>
        <w:rPr>
          <w:rFonts w:ascii="Calibri" w:cs="Calibri" w:eastAsia="Calibri" w:hAnsi="Calibri"/>
          <w:b/>
          <w:bCs/>
          <w:color w:val="1F4E79"/>
          <w:sz w:val="24"/>
          <w:szCs w:val="24"/>
        </w:rPr>
        <w:t xml:space="preserve">13.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760"/>
        <w:gridCol w:w="2500"/>
        <w:gridCol w:w="1500"/>
      </w:tblGrid>
      <w:tr>
        <w:trPr>
          <w:tblHeader/>
        </w:trPr>
        <w:tc>
          <w:tcPr>
            <w:tcW w:type="dxa" w:w="6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N.º</w:t>
            </w:r>
          </w:p>
        </w:tc>
        <w:tc>
          <w:tcPr>
            <w:tcW w:type="dxa" w:w="476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Actividad</w:t>
            </w:r>
          </w:p>
        </w:tc>
        <w:tc>
          <w:tcPr>
            <w:tcW w:type="dxa" w:w="25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Responsable</w:t>
            </w:r>
          </w:p>
        </w:tc>
        <w:tc>
          <w:tcPr>
            <w:tcW w:type="dxa" w:w="1500"/>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Prioridad</w:t>
            </w:r>
          </w:p>
        </w:tc>
      </w:tr>
      <w:tr>
        <w:tc>
          <w:tcPr>
            <w:tcW w:type="dxa" w:w="6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1</w:t>
            </w:r>
          </w:p>
        </w:tc>
        <w:tc>
          <w:tcPr>
            <w:tcW w:type="dxa" w:w="4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Depositar reportes reales de Superrepuestos en la carpeta Reportes y validar su carga.</w:t>
            </w:r>
          </w:p>
        </w:tc>
        <w:tc>
          <w:tcPr>
            <w:tcW w:type="dxa" w:w="25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Jonathan Flores</w:t>
            </w:r>
          </w:p>
        </w:tc>
        <w:tc>
          <w:tcPr>
            <w:tcW w:type="dxa" w:w="15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Alta</w:t>
            </w:r>
          </w:p>
        </w:tc>
      </w:tr>
      <w:tr>
        <w:tc>
          <w:tcPr>
            <w:tcW w:type="dxa" w:w="6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2</w:t>
            </w:r>
          </w:p>
        </w:tc>
        <w:tc>
          <w:tcPr>
            <w:tcW w:type="dxa" w:w="4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Configurar la conexión a la base de datos corporativa con credenciales cifradas.</w:t>
            </w:r>
          </w:p>
        </w:tc>
        <w:tc>
          <w:tcPr>
            <w:tcW w:type="dxa" w:w="25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Jonathan Flores / Tecnología</w:t>
            </w:r>
          </w:p>
        </w:tc>
        <w:tc>
          <w:tcPr>
            <w:tcW w:type="dxa" w:w="15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Alta</w:t>
            </w:r>
          </w:p>
        </w:tc>
      </w:tr>
      <w:tr>
        <w:tc>
          <w:tcPr>
            <w:tcW w:type="dxa" w:w="6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3</w:t>
            </w:r>
          </w:p>
        </w:tc>
        <w:tc>
          <w:tcPr>
            <w:tcW w:type="dxa" w:w="4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Definir el modelo de permisos por reporte o por área con las áreas usuarias.</w:t>
            </w:r>
          </w:p>
        </w:tc>
        <w:tc>
          <w:tcPr>
            <w:tcW w:type="dxa" w:w="25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Jonathan Flores / Áreas usuarias</w:t>
            </w:r>
          </w:p>
        </w:tc>
        <w:tc>
          <w:tcPr>
            <w:tcW w:type="dxa" w:w="15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Alta</w:t>
            </w:r>
          </w:p>
        </w:tc>
      </w:tr>
      <w:tr>
        <w:tc>
          <w:tcPr>
            <w:tcW w:type="dxa" w:w="6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4</w:t>
            </w:r>
          </w:p>
        </w:tc>
        <w:tc>
          <w:tcPr>
            <w:tcW w:type="dxa" w:w="4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Ejecutar la reparación de Visual Studio fuera de horario productivo.</w:t>
            </w:r>
          </w:p>
        </w:tc>
        <w:tc>
          <w:tcPr>
            <w:tcW w:type="dxa" w:w="25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Soporte Técnico</w:t>
            </w:r>
          </w:p>
        </w:tc>
        <w:tc>
          <w:tcPr>
            <w:tcW w:type="dxa" w:w="15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Media</w:t>
            </w:r>
          </w:p>
        </w:tc>
      </w:tr>
      <w:tr>
        <w:tc>
          <w:tcPr>
            <w:tcW w:type="dxa" w:w="6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5</w:t>
            </w:r>
          </w:p>
        </w:tc>
        <w:tc>
          <w:tcPr>
            <w:tcW w:type="dxa" w:w="4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Preparar el procedimiento de despliegue en el servidor de IIS de producción.</w:t>
            </w:r>
          </w:p>
        </w:tc>
        <w:tc>
          <w:tcPr>
            <w:tcW w:type="dxa" w:w="25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Tecnología</w:t>
            </w:r>
          </w:p>
        </w:tc>
        <w:tc>
          <w:tcPr>
            <w:tcW w:type="dxa" w:w="15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Media</w:t>
            </w:r>
          </w:p>
        </w:tc>
      </w:tr>
      <w:tr>
        <w:tc>
          <w:tcPr>
            <w:tcW w:type="dxa" w:w="6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6</w:t>
            </w:r>
          </w:p>
        </w:tc>
        <w:tc>
          <w:tcPr>
            <w:tcW w:type="dxa" w:w="476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Definir el esquema de categorías para organizar los reportes en el portal.</w:t>
            </w:r>
          </w:p>
        </w:tc>
        <w:tc>
          <w:tcPr>
            <w:tcW w:type="dxa" w:w="2500"/>
            <w:tcMar>
              <w:top w:type="dxa" w:w="60"/>
              <w:left w:type="dxa" w:w="100"/>
              <w:bottom w:type="dxa" w:w="60"/>
              <w:right w:type="dxa" w:w="100"/>
            </w:tcMar>
          </w:tcPr>
          <w:p>
            <w:pPr>
              <w:spacing w:after="0" w:before="0"/>
              <w:jc w:val="left"/>
            </w:pPr>
            <w:r>
              <w:rPr>
                <w:rFonts w:ascii="Calibri" w:cs="Calibri" w:eastAsia="Calibri" w:hAnsi="Calibri"/>
                <w:b w:val="false"/>
                <w:bCs w:val="false"/>
                <w:sz w:val="18"/>
                <w:szCs w:val="18"/>
              </w:rPr>
              <w:t xml:space="preserve">Jonathan Flores</w:t>
            </w:r>
          </w:p>
        </w:tc>
        <w:tc>
          <w:tcPr>
            <w:tcW w:type="dxa" w:w="1500"/>
            <w:tcMar>
              <w:top w:type="dxa" w:w="60"/>
              <w:left w:type="dxa" w:w="100"/>
              <w:bottom w:type="dxa" w:w="60"/>
              <w:right w:type="dxa" w:w="100"/>
            </w:tcMar>
          </w:tcPr>
          <w:p>
            <w:pPr>
              <w:spacing w:after="0" w:before="0"/>
              <w:jc w:val="center"/>
            </w:pPr>
            <w:r>
              <w:rPr>
                <w:rFonts w:ascii="Calibri" w:cs="Calibri" w:eastAsia="Calibri" w:hAnsi="Calibri"/>
                <w:b w:val="false"/>
                <w:bCs w:val="false"/>
                <w:sz w:val="18"/>
                <w:szCs w:val="18"/>
              </w:rPr>
              <w:t xml:space="preserve">Baja</w:t>
            </w:r>
          </w:p>
        </w:tc>
      </w:tr>
    </w:tbl>
    <w:p>
      <w:pPr>
        <w:spacing w:after="140" w:before="320"/>
      </w:pPr>
      <w:r>
        <w:rPr>
          <w:rFonts w:ascii="Calibri" w:cs="Calibri" w:eastAsia="Calibri" w:hAnsi="Calibri"/>
          <w:b/>
          <w:bCs/>
          <w:color w:val="1F4E79"/>
          <w:sz w:val="24"/>
          <w:szCs w:val="24"/>
        </w:rPr>
        <w:t xml:space="preserve">Anexo. Comandos de referencia</w:t>
      </w:r>
    </w:p>
    <w:p>
      <w:pPr>
        <w:spacing w:after="100" w:before="220"/>
      </w:pPr>
      <w:r>
        <w:rPr>
          <w:rFonts w:ascii="Calibri" w:cs="Calibri" w:eastAsia="Calibri" w:hAnsi="Calibri"/>
          <w:b/>
          <w:bCs/>
          <w:sz w:val="21"/>
          <w:szCs w:val="21"/>
        </w:rPr>
        <w:t xml:space="preserve">Ejecutar el portal</w:t>
      </w:r>
    </w:p>
    <w:p>
      <w:pPr>
        <w:shd w:fill="F0F0F0" w:color="auto" w:val="clear"/>
        <w:spacing w:after="120" w:before="60"/>
      </w:pPr>
      <w:r>
        <w:rPr>
          <w:rFonts w:ascii="Consolas" w:cs="Consolas" w:eastAsia="Consolas" w:hAnsi="Consolas"/>
          <w:sz w:val="17"/>
          <w:szCs w:val="17"/>
        </w:rPr>
        <w:t xml:space="preserve">powershell -ExecutionPolicy Bypass -File "C:\CLAUDE CODE\Proyecto Portal
Crystal\PortalReportesCrystal\Ejecutar-Portal.ps1"</w:t>
      </w:r>
    </w:p>
    <w:p>
      <w:pPr>
        <w:spacing w:after="100" w:before="220"/>
      </w:pPr>
      <w:r>
        <w:rPr>
          <w:rFonts w:ascii="Calibri" w:cs="Calibri" w:eastAsia="Calibri" w:hAnsi="Calibri"/>
          <w:b/>
          <w:bCs/>
          <w:sz w:val="21"/>
          <w:szCs w:val="21"/>
        </w:rPr>
        <w:t xml:space="preserve">Compilar el proyecto manualmente</w:t>
      </w:r>
    </w:p>
    <w:p>
      <w:pPr>
        <w:shd w:fill="F0F0F0" w:color="auto" w:val="clear"/>
        <w:spacing w:after="120" w:before="60"/>
      </w:pPr>
      <w:r>
        <w:rPr>
          <w:rFonts w:ascii="Consolas" w:cs="Consolas" w:eastAsia="Consolas" w:hAnsi="Consolas"/>
          <w:sz w:val="17"/>
          <w:szCs w:val="17"/>
        </w:rPr>
        <w:t xml:space="preserve">&amp; "C:\Program Files\Microsoft Visual Studio\2022\Community\MSBuild\Current\Bin\MSBuild.exe"
  "...\PortalReportesCrystal.csproj" /t:Build /p:Configuration=Debug</w:t>
      </w:r>
    </w:p>
    <w:p>
      <w:pPr>
        <w:spacing w:after="100" w:before="220"/>
      </w:pPr>
      <w:r>
        <w:rPr>
          <w:rFonts w:ascii="Calibri" w:cs="Calibri" w:eastAsia="Calibri" w:hAnsi="Calibri"/>
          <w:b/>
          <w:bCs/>
          <w:sz w:val="21"/>
          <w:szCs w:val="21"/>
        </w:rPr>
        <w:t xml:space="preserve">Detener el servidor web</w:t>
      </w:r>
    </w:p>
    <w:p>
      <w:pPr>
        <w:shd w:fill="F0F0F0" w:color="auto" w:val="clear"/>
        <w:spacing w:after="120" w:before="60"/>
      </w:pPr>
      <w:r>
        <w:rPr>
          <w:rFonts w:ascii="Consolas" w:cs="Consolas" w:eastAsia="Consolas" w:hAnsi="Consolas"/>
          <w:sz w:val="17"/>
          <w:szCs w:val="17"/>
        </w:rPr>
        <w:t xml:space="preserve">Get-Process iisexpress | Stop-Process -Force</w:t>
      </w:r>
    </w:p>
    <w:p>
      <w:pPr>
        <w:spacing w:after="100" w:before="220"/>
      </w:pPr>
      <w:r>
        <w:rPr>
          <w:rFonts w:ascii="Calibri" w:cs="Calibri" w:eastAsia="Calibri" w:hAnsi="Calibri"/>
          <w:b/>
          <w:bCs/>
          <w:sz w:val="21"/>
          <w:szCs w:val="21"/>
        </w:rPr>
        <w:t xml:space="preserve">Cifrar la cadena de conexión antes del despliegue productivo</w:t>
      </w:r>
    </w:p>
    <w:p>
      <w:pPr>
        <w:shd w:fill="F0F0F0" w:color="auto" w:val="clear"/>
        <w:spacing w:after="120" w:before="60"/>
      </w:pPr>
      <w:r>
        <w:rPr>
          <w:rFonts w:ascii="Consolas" w:cs="Consolas" w:eastAsia="Consolas" w:hAnsi="Consolas"/>
          <w:sz w:val="17"/>
          <w:szCs w:val="17"/>
        </w:rPr>
        <w:t xml:space="preserve">aspnet_regiis -pe "connectionStrings" -app "/PortalReportes"</w:t>
      </w:r>
    </w:p>
    <w:p>
      <w:pPr>
        <w:spacing w:after="100"/>
      </w:pPr>
    </w:p>
    <w:p>
      <w:pPr>
        <w:spacing w:after="100"/>
      </w:pPr>
    </w:p>
    <w:p>
      <w:pPr>
        <w:jc w:val="center"/>
      </w:pPr>
      <w:r>
        <w:rPr>
          <w:rFonts w:ascii="Calibri" w:cs="Calibri" w:eastAsia="Calibri" w:hAnsi="Calibri"/>
          <w:i/>
          <w:iCs/>
          <w:color w:val="666666"/>
          <w:sz w:val="17"/>
          <w:szCs w:val="17"/>
        </w:rPr>
        <w:t xml:space="preserve">Documento de uso interno — Superrepuestos</w:t>
      </w:r>
    </w:p>
    <w:p>
      <w:pPr>
        <w:jc w:val="center"/>
      </w:pPr>
      <w:r>
        <w:rPr>
          <w:rFonts w:ascii="Calibri" w:cs="Calibri" w:eastAsia="Calibri" w:hAnsi="Calibri"/>
          <w:i/>
          <w:iCs/>
          <w:color w:val="666666"/>
          <w:sz w:val="17"/>
          <w:szCs w:val="17"/>
        </w:rPr>
        <w:t xml:space="preserve">Contacto: jonathan.flores@superrepuestos.com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00"/>
    </w:pPr>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de Reportes Crystal - Documentación Técnica de Implementación</dc:title>
  <dc:creator>Jonathan Flores</dc:creator>
  <dc:description>Documentación técnica de la implementación del Portal de Reportes Crystal</dc:description>
  <cp:lastModifiedBy>Un-named</cp:lastModifiedBy>
  <cp:revision>1</cp:revision>
  <dcterms:created xsi:type="dcterms:W3CDTF">2026-08-17T18:45:22.011Z</dcterms:created>
  <dcterms:modified xsi:type="dcterms:W3CDTF">2026-08-17T18:45:22.012Z</dcterms:modified>
</cp:coreProperties>
</file>

<file path=docProps/custom.xml><?xml version="1.0" encoding="utf-8"?>
<Properties xmlns="http://schemas.openxmlformats.org/officeDocument/2006/custom-properties" xmlns:vt="http://schemas.openxmlformats.org/officeDocument/2006/docPropsVTypes"/>
</file>