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01522"/>
          <w:sz w:val="44"/>
          <w:szCs w:val="44"/>
        </w:rPr>
        <w:t xml:space="preserve">Nota de Arquitectura</w:t>
      </w:r>
    </w:p>
    <w:p>
      <w:pPr>
        <w:spacing w:after="400"/>
        <w:jc w:val="center"/>
      </w:pPr>
      <w:r>
        <w:rPr>
          <w:rFonts w:ascii="Calibri" w:cs="Calibri" w:eastAsia="Calibri" w:hAnsi="Calibri"/>
          <w:b/>
          <w:bCs/>
          <w:color w:val="001522"/>
          <w:sz w:val="44"/>
          <w:szCs w:val="44"/>
        </w:rPr>
        <w:t xml:space="preserve">y Estrategia</w:t>
      </w:r>
    </w:p>
    <w:p>
      <w:pPr>
        <w:spacing w:after="800"/>
        <w:jc w:val="center"/>
      </w:pPr>
      <w:r>
        <w:rPr>
          <w:rFonts w:ascii="Calibri" w:cs="Calibri" w:eastAsia="Calibri" w:hAnsi="Calibri"/>
          <w:b/>
          <w:bCs/>
          <w:color w:val="FF0000"/>
          <w:sz w:val="28"/>
          <w:szCs w:val="28"/>
        </w:rPr>
        <w:t xml:space="preserve">Portal de Reportes Crystal</w:t>
      </w:r>
    </w:p>
    <w:p>
      <w:pPr>
        <w:spacing w:after="200"/>
        <w:jc w:val="center"/>
      </w:pPr>
      <w:r>
        <w:rPr>
          <w:rFonts w:ascii="Calibri" w:cs="Calibri" w:eastAsia="Calibri" w:hAnsi="Calibri"/>
          <w:color w:val="FF0000"/>
          <w:sz w:val="22"/>
          <w:szCs w:val="22"/>
        </w:rPr>
        <w:t xml:space="preserve">──────────</w:t>
      </w:r>
    </w:p>
    <w:p>
      <w:pPr>
        <w:spacing w:after="100"/>
        <w:jc w:val="center"/>
      </w:pPr>
      <w:r>
        <w:rPr>
          <w:rFonts w:ascii="Calibri" w:cs="Calibri" w:eastAsia="Calibri" w:hAnsi="Calibri"/>
          <w:b/>
          <w:bCs/>
          <w:color w:val="001522"/>
          <w:sz w:val="20"/>
          <w:szCs w:val="20"/>
        </w:rPr>
        <w:t xml:space="preserve">Autor:  </w:t>
      </w:r>
      <w:r>
        <w:rPr>
          <w:rFonts w:ascii="Calibri" w:cs="Calibri" w:eastAsia="Calibri" w:hAnsi="Calibri"/>
          <w:color w:val="333333"/>
          <w:sz w:val="20"/>
          <w:szCs w:val="20"/>
        </w:rPr>
        <w:t xml:space="preserve">Jonathan Flores  |  Inteligencia de Negocios / DWH</w:t>
      </w:r>
    </w:p>
    <w:p>
      <w:pPr>
        <w:spacing w:after="100"/>
        <w:jc w:val="center"/>
      </w:pPr>
      <w:r>
        <w:rPr>
          <w:rFonts w:ascii="Calibri" w:cs="Calibri" w:eastAsia="Calibri" w:hAnsi="Calibri"/>
          <w:b/>
          <w:bCs/>
          <w:color w:val="001522"/>
          <w:sz w:val="20"/>
          <w:szCs w:val="20"/>
        </w:rPr>
        <w:t xml:space="preserve">Fecha:  </w:t>
      </w:r>
      <w:r>
        <w:rPr>
          <w:rFonts w:ascii="Calibri" w:cs="Calibri" w:eastAsia="Calibri" w:hAnsi="Calibri"/>
          <w:color w:val="333333"/>
          <w:sz w:val="20"/>
          <w:szCs w:val="20"/>
        </w:rPr>
        <w:t xml:space="preserve">17 de agosto de 2026</w:t>
      </w:r>
    </w:p>
    <w:p>
      <w:pPr>
        <w:spacing w:after="100"/>
        <w:jc w:val="center"/>
      </w:pPr>
      <w:r>
        <w:rPr>
          <w:rFonts w:ascii="Calibri" w:cs="Calibri" w:eastAsia="Calibri" w:hAnsi="Calibri"/>
          <w:b/>
          <w:bCs/>
          <w:color w:val="001522"/>
          <w:sz w:val="20"/>
          <w:szCs w:val="20"/>
        </w:rPr>
        <w:t xml:space="preserve">Versión:  </w:t>
      </w:r>
      <w:r>
        <w:rPr>
          <w:rFonts w:ascii="Calibri" w:cs="Calibri" w:eastAsia="Calibri" w:hAnsi="Calibri"/>
          <w:color w:val="333333"/>
          <w:sz w:val="20"/>
          <w:szCs w:val="20"/>
        </w:rPr>
        <w:t xml:space="preserve">1.0</w:t>
      </w:r>
    </w:p>
    <w:p>
      <w:pPr>
        <w:spacing w:after="100"/>
        <w:jc w:val="center"/>
      </w:pPr>
      <w:r>
        <w:rPr>
          <w:rFonts w:ascii="Calibri" w:cs="Calibri" w:eastAsia="Calibri" w:hAnsi="Calibri"/>
          <w:b/>
          <w:bCs/>
          <w:color w:val="001522"/>
          <w:sz w:val="20"/>
          <w:szCs w:val="20"/>
        </w:rPr>
        <w:t xml:space="preserve">Clasificación:  </w:t>
      </w:r>
      <w:r>
        <w:rPr>
          <w:rFonts w:ascii="Calibri" w:cs="Calibri" w:eastAsia="Calibri" w:hAnsi="Calibri"/>
          <w:color w:val="333333"/>
          <w:sz w:val="20"/>
          <w:szCs w:val="20"/>
        </w:rPr>
        <w:t xml:space="preserve">Uso interno</w:t>
      </w:r>
    </w:p>
    <w:p>
      <w:pPr>
        <w:spacing w:after="100"/>
        <w:jc w:val="center"/>
      </w:pPr>
      <w:r>
        <w:rPr>
          <w:rFonts w:ascii="Calibri" w:cs="Calibri" w:eastAsia="Calibri" w:hAnsi="Calibri"/>
          <w:b/>
          <w:bCs/>
          <w:color w:val="001522"/>
          <w:sz w:val="20"/>
          <w:szCs w:val="20"/>
        </w:rPr>
        <w:t xml:space="preserve">Organización:  </w:t>
      </w:r>
      <w:r>
        <w:rPr>
          <w:rFonts w:ascii="Calibri" w:cs="Calibri" w:eastAsia="Calibri" w:hAnsi="Calibri"/>
          <w:color w:val="333333"/>
          <w:sz w:val="20"/>
          <w:szCs w:val="20"/>
        </w:rPr>
        <w:t xml:space="preserve">Super Repuestos El Salvador</w:t>
      </w:r>
    </w:p>
    <w:p>
      <w:pPr>
        <w:spacing w:before="3600"/>
        <w:jc w:val="center"/>
      </w:pPr>
      <w:r>
        <w:rPr>
          <w:rFonts w:ascii="Calibri" w:cs="Calibri" w:eastAsia="Calibri" w:hAnsi="Calibri"/>
          <w:i/>
          <w:iCs/>
          <w:color w:val="666666"/>
          <w:sz w:val="18"/>
          <w:szCs w:val="18"/>
        </w:rPr>
        <w:t xml:space="preserve">Documento de registro interno de decisiones arquitectónicas y estratégicas.</w:t>
      </w:r>
    </w:p>
    <w:p>
      <w:pPr>
        <w:pageBreakBefore/>
        <w:pBdr>
          <w:bottom w:val="single" w:color="FF0000" w:sz="12" w:space="2"/>
        </w:pBdr>
        <w:spacing w:after="180" w:before="0"/>
      </w:pPr>
      <w:r>
        <w:rPr>
          <w:rFonts w:ascii="Calibri" w:cs="Calibri" w:eastAsia="Calibri" w:hAnsi="Calibri"/>
          <w:b/>
          <w:bCs/>
          <w:color w:val="001522"/>
          <w:sz w:val="30"/>
          <w:szCs w:val="30"/>
        </w:rPr>
        <w:t xml:space="preserve">Resumen ejecutivo</w:t>
      </w:r>
    </w:p>
    <w:p>
      <w:pPr>
        <w:spacing w:after="140"/>
        <w:jc w:val="both"/>
      </w:pPr>
      <w:r>
        <w:rPr>
          <w:rFonts w:ascii="Calibri" w:cs="Calibri" w:eastAsia="Calibri" w:hAnsi="Calibri"/>
          <w:sz w:val="20"/>
          <w:szCs w:val="20"/>
        </w:rPr>
        <w:t xml:space="preserve">El Portal de Reportes Crystal es una solución web construida internamente para modernizar el consumo de reportes en Super Repuestos El Salvador sin depender de la compra de un servidor de reportes de nueva generación. Combina dos modelos de acceso: ejecución local de archivos .rpt mediante el SDK de Crystal Reports 2020 y enlaces directos a reportes que hoy siguen publicados en SAP BusinessObjects CMC. La coexistencia deliberada de ambos modelos permite migrar progresivamente sin interrumpir la operación.</w:t>
      </w:r>
    </w:p>
    <w:p>
      <w:pPr>
        <w:spacing w:after="140"/>
        <w:jc w:val="both"/>
      </w:pPr>
      <w:r>
        <w:rPr>
          <w:rFonts w:ascii="Calibri" w:cs="Calibri" w:eastAsia="Calibri" w:hAnsi="Calibri"/>
          <w:sz w:val="20"/>
          <w:szCs w:val="20"/>
        </w:rPr>
        <w:t xml:space="preserve">Este documento registra las decisiones de arquitectura y estrategia acordadas hasta la fecha, con foco en riesgos, criterios de clasificación y horizonte de vida útil de las tecnologías involucradas. El propósito es dejar constancia formal de por qué se eligieron los caminos elegidos, cuáles quedaron descartados de manera explícita, y qué principios de diseño se establecen para no cerrar opciones futuras.</w:t>
      </w:r>
    </w:p>
    <w:p>
      <w:pPr>
        <w:spacing w:after="120" w:before="260"/>
      </w:pPr>
      <w:r>
        <w:rPr>
          <w:rFonts w:ascii="Calibri" w:cs="Calibri" w:eastAsia="Calibri" w:hAnsi="Calibri"/>
          <w:b/>
          <w:bCs/>
          <w:color w:val="001522"/>
          <w:sz w:val="24"/>
          <w:szCs w:val="24"/>
        </w:rPr>
        <w:t xml:space="preserve">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660"/>
        <w:gridCol w:w="5000"/>
      </w:tblGrid>
      <w:tr>
        <w:trPr>
          <w:tblHeader/>
        </w:trPr>
        <w:tc>
          <w:tcPr>
            <w:tcW w:type="dxa" w:w="7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N.º</w:t>
            </w:r>
          </w:p>
        </w:tc>
        <w:tc>
          <w:tcPr>
            <w:tcW w:type="dxa" w:w="36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Decisión</w:t>
            </w:r>
          </w:p>
        </w:tc>
        <w:tc>
          <w:tcPr>
            <w:tcW w:type="dxa" w:w="50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Fundamento en breve</w:t>
            </w:r>
          </w:p>
        </w:tc>
      </w:tr>
      <w:tr>
        <w:tc>
          <w:tcPr>
            <w:tcW w:type="dxa" w:w="7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w:t>
            </w:r>
          </w:p>
        </w:tc>
        <w:tc>
          <w:tcPr>
            <w:tcW w:type="dxa" w:w="366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Adoptar un modelo híbrido: enlace a CMC + ejecución local de .rpt</w:t>
            </w:r>
          </w:p>
        </w:tc>
        <w:tc>
          <w:tcPr>
            <w:tcW w:type="dxa" w:w="5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Permite migrar por lotes sin bloquear operación ni forzar reescritura masiva.</w:t>
            </w:r>
          </w:p>
        </w:tc>
      </w:tr>
      <w:tr>
        <w:tc>
          <w:tcPr>
            <w:tcW w:type="dxa" w:w="7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2</w:t>
            </w:r>
          </w:p>
        </w:tc>
        <w:tc>
          <w:tcPr>
            <w:tcW w:type="dxa" w:w="366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Descartar el failover automático CMC → local</w:t>
            </w:r>
          </w:p>
        </w:tc>
        <w:tc>
          <w:tcPr>
            <w:tcW w:type="dxa" w:w="50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Riesgo de traslado de saturación, falsos positivos y datos inconsistentes.</w:t>
            </w:r>
          </w:p>
        </w:tc>
      </w:tr>
      <w:tr>
        <w:tc>
          <w:tcPr>
            <w:tcW w:type="dxa" w:w="7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3</w:t>
            </w:r>
          </w:p>
        </w:tc>
        <w:tc>
          <w:tcPr>
            <w:tcW w:type="dxa" w:w="366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Implementar auditoría de uso en el portal</w:t>
            </w:r>
          </w:p>
        </w:tc>
        <w:tc>
          <w:tcPr>
            <w:tcW w:type="dxa" w:w="5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CMC vigente no ofrece bitácora adecuada; se necesita evidencia para decidir migraciones.</w:t>
            </w:r>
          </w:p>
        </w:tc>
      </w:tr>
      <w:tr>
        <w:tc>
          <w:tcPr>
            <w:tcW w:type="dxa" w:w="7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4</w:t>
            </w:r>
          </w:p>
        </w:tc>
        <w:tc>
          <w:tcPr>
            <w:tcW w:type="dxa" w:w="366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Utilizar el portal como vía de modernización sin adquirir Crystal Reports Server actual</w:t>
            </w:r>
          </w:p>
        </w:tc>
        <w:tc>
          <w:tcPr>
            <w:tcW w:type="dxa" w:w="50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BOE XI R2/R3 y BOE 4.1 están fuera de soporte oficial de fabricante.</w:t>
            </w:r>
          </w:p>
        </w:tc>
      </w:tr>
      <w:tr>
        <w:tc>
          <w:tcPr>
            <w:tcW w:type="dxa" w:w="7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5</w:t>
            </w:r>
          </w:p>
        </w:tc>
        <w:tc>
          <w:tcPr>
            <w:tcW w:type="dxa" w:w="366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Resolver listas de valores (LOV) y prompts en el portal</w:t>
            </w:r>
          </w:p>
        </w:tc>
        <w:tc>
          <w:tcPr>
            <w:tcW w:type="dxa" w:w="5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Reduce dependencia de universos cuando estos solo servían para servir LOV.</w:t>
            </w:r>
          </w:p>
        </w:tc>
      </w:tr>
      <w:tr>
        <w:tc>
          <w:tcPr>
            <w:tcW w:type="dxa" w:w="7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6</w:t>
            </w:r>
          </w:p>
        </w:tc>
        <w:tc>
          <w:tcPr>
            <w:tcW w:type="dxa" w:w="366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Establecer horizonte de vida útil de 5 a 10 años para el SDK Crystal Reports .NET</w:t>
            </w:r>
          </w:p>
        </w:tc>
        <w:tc>
          <w:tcPr>
            <w:tcW w:type="dxa" w:w="50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Producto maduro, sin evolución activa, atado a .NET Framework.</w:t>
            </w:r>
          </w:p>
        </w:tc>
      </w:tr>
      <w:tr>
        <w:tc>
          <w:tcPr>
            <w:tcW w:type="dxa" w:w="7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7</w:t>
            </w:r>
          </w:p>
        </w:tc>
        <w:tc>
          <w:tcPr>
            <w:tcW w:type="dxa" w:w="366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Diseñar con abstracciones que no cierren opciones futuras (SSRS, Power BI Report Server, otros)</w:t>
            </w:r>
          </w:p>
        </w:tc>
        <w:tc>
          <w:tcPr>
            <w:tcW w:type="dxa" w:w="5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Catálogo editable, LOV externalizadas, metadatos independientes del motor de renderizado.</w:t>
            </w:r>
          </w:p>
        </w:tc>
      </w:tr>
    </w:tbl>
    <w:p>
      <w:pPr>
        <w:pageBreakBefore/>
        <w:pBdr>
          <w:bottom w:val="single" w:color="FF0000" w:sz="12" w:space="2"/>
        </w:pBdr>
        <w:spacing w:after="180" w:before="0"/>
      </w:pPr>
      <w:r>
        <w:rPr>
          <w:rFonts w:ascii="Calibri" w:cs="Calibri" w:eastAsia="Calibri" w:hAnsi="Calibri"/>
          <w:b/>
          <w:bCs/>
          <w:color w:val="001522"/>
          <w:sz w:val="30"/>
          <w:szCs w:val="30"/>
        </w:rPr>
        <w:t xml:space="preserve">1. Modelo híbrido adoptado</w:t>
      </w:r>
    </w:p>
    <w:p>
      <w:pPr>
        <w:spacing w:after="140"/>
        <w:jc w:val="both"/>
      </w:pPr>
      <w:r>
        <w:rPr>
          <w:rFonts w:ascii="Calibri" w:cs="Calibri" w:eastAsia="Calibri" w:hAnsi="Calibri"/>
          <w:sz w:val="20"/>
          <w:szCs w:val="20"/>
        </w:rPr>
        <w:t xml:space="preserve">El portal ofrece dos modos de acceso a reportes que coexisten en el mismo listado, diferenciados visualmente para el usuario final: enlace directo al servidor de reportes existente (SAP BO CMC) y ejecución local del archivo .rpt mediante el SDK de Crystal Reports embebido en el portal. La decisión de mantener ambos modelos es deliberada.</w:t>
      </w:r>
    </w:p>
    <w:p>
      <w:pPr>
        <w:spacing w:after="120" w:before="260"/>
      </w:pPr>
      <w:r>
        <w:rPr>
          <w:rFonts w:ascii="Calibri" w:cs="Calibri" w:eastAsia="Calibri" w:hAnsi="Calibri"/>
          <w:b/>
          <w:bCs/>
          <w:color w:val="001522"/>
          <w:sz w:val="24"/>
          <w:szCs w:val="24"/>
        </w:rPr>
        <w:t xml:space="preserve">1.1 Comparación 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tblHeader/>
        </w:trPr>
        <w:tc>
          <w:tcPr>
            <w:tcW w:type="dxa" w:w="24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Dimensión</w:t>
            </w:r>
          </w:p>
        </w:tc>
        <w:tc>
          <w:tcPr>
            <w:tcW w:type="dxa" w:w="34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Enlace a CMC</w:t>
            </w:r>
          </w:p>
        </w:tc>
        <w:tc>
          <w:tcPr>
            <w:tcW w:type="dxa" w:w="34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Ejecución local del .rpt</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Carga en el portal</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Nula: solo redirige al usuario</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Alta: el portal ejecuta el reporte</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Consumo de memoria</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No aplica en el portal</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Significativo por cada ejecución concurrente</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Autenticación</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Recae en el servidor de reportes</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Windows Authentication en el portal; credenciales de datos según diseño del .rpt</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Experiencia de usuario</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Depende del visor del servidor externo</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Uniforme, controlada por el portal (visor embebido, exportación múltiple)</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Control sobre el rendering</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Ninguno</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Total</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Versionado del reporte</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Gestión externa en la plataforma</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Gestión en la carpeta del portal</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Dependencia externa</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Alta: si el servidor cae, el reporte cae</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Baja: autónomo dentro del portal</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Mantenimiento del reporte</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Requiere herramientas del servidor</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Edición directa con Crystal Reports Designer</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Escalabilidad</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Limitada por el servidor externo</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Limitada por el runtime local y el hardware del servidor web</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Trazabilidad de uso</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Depende de la bitácora del servidor externo</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Controlada por el portal desde su propia capa de auditoría</w:t>
            </w:r>
          </w:p>
        </w:tc>
      </w:tr>
    </w:tbl>
    <w:p>
      <w:pPr>
        <w:spacing w:after="120" w:before="260"/>
      </w:pPr>
      <w:r>
        <w:rPr>
          <w:rFonts w:ascii="Calibri" w:cs="Calibri" w:eastAsia="Calibri" w:hAnsi="Calibri"/>
          <w:b/>
          <w:bCs/>
          <w:color w:val="001522"/>
          <w:sz w:val="24"/>
          <w:szCs w:val="24"/>
        </w:rPr>
        <w:t xml:space="preserve">1.2 Criterios de clasificación por reporte</w:t>
      </w:r>
    </w:p>
    <w:p>
      <w:pPr>
        <w:spacing w:after="140"/>
        <w:jc w:val="both"/>
      </w:pPr>
      <w:r>
        <w:rPr>
          <w:rFonts w:ascii="Calibri" w:cs="Calibri" w:eastAsia="Calibri" w:hAnsi="Calibri"/>
          <w:sz w:val="20"/>
          <w:szCs w:val="20"/>
        </w:rPr>
        <w:t xml:space="preserve">Para cada reporte del universo actual se debe decidir si permanece como enlace a la plataforma externa o si se migra a ejecución local en el portal. Los criterios acordados se aplican en el siguiente orden de prioridad: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080"/>
        <w:gridCol w:w="3080"/>
      </w:tblGrid>
      <w:tr>
        <w:trPr>
          <w:tblHeader/>
        </w:trPr>
        <w:tc>
          <w:tcPr>
            <w:tcW w:type="dxa" w:w="32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Criterio</w:t>
            </w:r>
          </w:p>
        </w:tc>
        <w:tc>
          <w:tcPr>
            <w:tcW w:type="dxa" w:w="30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Favorece enlace</w:t>
            </w:r>
          </w:p>
        </w:tc>
        <w:tc>
          <w:tcPr>
            <w:tcW w:type="dxa" w:w="30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Favorece ejecución local</w:t>
            </w:r>
          </w:p>
        </w:tc>
      </w:tr>
      <w:tr>
        <w:tc>
          <w:tcPr>
            <w:tcW w:type="dxa" w:w="3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Uso concurrente esperado</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Alto uso simultáneo</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Bajo o moderado</w:t>
            </w:r>
          </w:p>
        </w:tc>
      </w:tr>
      <w:tr>
        <w:tc>
          <w:tcPr>
            <w:tcW w:type="dxa" w:w="3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Tamaño del conjunto de datos</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Muy grande (millones de filas)</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Pequeño a mediano</w:t>
            </w:r>
          </w:p>
        </w:tc>
      </w:tr>
      <w:tr>
        <w:tc>
          <w:tcPr>
            <w:tcW w:type="dxa" w:w="3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Dependencia de universos y prompts complejos</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Alta y difícil de replicar</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Baja o replicable en el portal</w:t>
            </w:r>
          </w:p>
        </w:tc>
      </w:tr>
      <w:tr>
        <w:tc>
          <w:tcPr>
            <w:tcW w:type="dxa" w:w="3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Volatilidad del diseño del reporte</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Cambios frecuentes hoy en el servidor externo</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Diseño estable</w:t>
            </w:r>
          </w:p>
        </w:tc>
      </w:tr>
      <w:tr>
        <w:tc>
          <w:tcPr>
            <w:tcW w:type="dxa" w:w="3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Sensibilidad al fallo</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Reporte crítico de negocio en horario pico</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Uso ocasional o interno</w:t>
            </w:r>
          </w:p>
        </w:tc>
      </w:tr>
      <w:tr>
        <w:tc>
          <w:tcPr>
            <w:tcW w:type="dxa" w:w="3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Necesidad de auditoría fina en el portal</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Baja</w:t>
            </w:r>
          </w:p>
        </w:tc>
        <w:tc>
          <w:tcPr>
            <w:tcW w:type="dxa" w:w="30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Alta</w:t>
            </w:r>
          </w:p>
        </w:tc>
      </w:tr>
      <w:tr>
        <w:tc>
          <w:tcPr>
            <w:tcW w:type="dxa" w:w="3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Estado del universo asociado</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Universo con seguridad por filas activa</w:t>
            </w:r>
          </w:p>
        </w:tc>
        <w:tc>
          <w:tcPr>
            <w:tcW w:type="dxa" w:w="30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Universo dispensable o inexistente</w:t>
            </w:r>
          </w:p>
        </w:tc>
      </w:tr>
    </w:tbl>
    <w:p>
      <w:pPr>
        <w:spacing w:after="140"/>
        <w:jc w:val="both"/>
      </w:pPr>
      <w:r>
        <w:rPr>
          <w:rFonts w:ascii="Calibri" w:cs="Calibri" w:eastAsia="Calibri" w:hAnsi="Calibri"/>
          <w:sz w:val="20"/>
          <w:szCs w:val="20"/>
        </w:rPr>
        <w:t xml:space="preserve">Los reportes que califiquen en zona gris se dejan como enlace en la fase inicial, y se reclasifican cuando la auditoría de uso (Sección 4) aporte datos objetivos.</w:t>
      </w:r>
    </w:p>
    <w:p>
      <w:pPr>
        <w:pageBreakBefore/>
        <w:pBdr>
          <w:bottom w:val="single" w:color="FF0000" w:sz="12" w:space="2"/>
        </w:pBdr>
        <w:spacing w:after="180" w:before="0"/>
      </w:pPr>
      <w:r>
        <w:rPr>
          <w:rFonts w:ascii="Calibri" w:cs="Calibri" w:eastAsia="Calibri" w:hAnsi="Calibri"/>
          <w:b/>
          <w:bCs/>
          <w:color w:val="001522"/>
          <w:sz w:val="30"/>
          <w:szCs w:val="30"/>
        </w:rPr>
        <w:t xml:space="preserve">2. Riesgos de saturación en el modelo local</w:t>
      </w:r>
    </w:p>
    <w:p>
      <w:pPr>
        <w:spacing w:after="140"/>
        <w:jc w:val="both"/>
      </w:pPr>
      <w:r>
        <w:rPr>
          <w:rFonts w:ascii="Calibri" w:cs="Calibri" w:eastAsia="Calibri" w:hAnsi="Calibri"/>
          <w:sz w:val="20"/>
          <w:szCs w:val="20"/>
        </w:rPr>
        <w:t xml:space="preserve">Ejecutar reportes de Crystal Reports dentro del portal es una responsabilidad operativa que trae consigo restricciones y consumos que deben ser conocidos y controlados antes de llevar el modelo a producción con carga significativa.</w:t>
      </w:r>
    </w:p>
    <w:p>
      <w:pPr>
        <w:spacing w:after="120" w:before="260"/>
      </w:pPr>
      <w:r>
        <w:rPr>
          <w:rFonts w:ascii="Calibri" w:cs="Calibri" w:eastAsia="Calibri" w:hAnsi="Calibri"/>
          <w:b/>
          <w:bCs/>
          <w:color w:val="001522"/>
          <w:sz w:val="24"/>
          <w:szCs w:val="24"/>
        </w:rPr>
        <w:t xml:space="preserve">2.1 Riesgos técnicos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80"/>
        <w:gridCol w:w="3580"/>
      </w:tblGrid>
      <w:tr>
        <w:trPr>
          <w:tblHeader/>
        </w:trPr>
        <w:tc>
          <w:tcPr>
            <w:tcW w:type="dxa" w:w="22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Riesgo</w:t>
            </w:r>
          </w:p>
        </w:tc>
        <w:tc>
          <w:tcPr>
            <w:tcW w:type="dxa" w:w="35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Descripción</w:t>
            </w:r>
          </w:p>
        </w:tc>
        <w:tc>
          <w:tcPr>
            <w:tcW w:type="dxa" w:w="35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Consideración</w:t>
            </w:r>
          </w:p>
        </w:tc>
      </w:tr>
      <w:tr>
        <w:tc>
          <w:tcPr>
            <w:tcW w:type="dxa" w:w="2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Límite de trabajos concurrentes del runtime</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runtime de Crystal impone por diseño un tope de trabajos ejecutándose en paralelo (predeterminado en 3). Es ajustable mediante configuración del registro del sistema.</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Elevar el tope multiplica el consumo de memoria y no siempre mejora el rendimiento. Requiere pruebas antes de aplicar.</w:t>
            </w:r>
          </w:p>
        </w:tc>
      </w:tr>
      <w:tr>
        <w:tc>
          <w:tcPr>
            <w:tcW w:type="dxa" w:w="2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Consumo de memoria por instancia</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Cada ejecución de un reporte reserva entre 50 y 200 MB, dependiendo del tamaño del conjunto de datos y de la complejidad del diseño.</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Ejecuciones concurrentes se suman linealmente. Presupuestar memoria del servidor web con margen amplio.</w:t>
            </w:r>
          </w:p>
        </w:tc>
      </w:tr>
      <w:tr>
        <w:tc>
          <w:tcPr>
            <w:tcW w:type="dxa" w:w="2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Memoria nativa fuera del recolector de basura de .NET</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motor de Crystal usa memoria nativa que no es liberada automáticamente por el recolector de basura. Su liberación depende de la disciplina del código.</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Fragmentación acumulativa a lo largo del tiempo, aun con liberación correcta. Se mitiga con reciclado periódico.</w:t>
            </w:r>
          </w:p>
        </w:tc>
      </w:tr>
      <w:tr>
        <w:tc>
          <w:tcPr>
            <w:tcW w:type="dxa" w:w="2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Necesidad de reciclado del proceso de IIS</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proceso de trabajo del sitio web debe reciclarse en ventanas controladas para liberar memoria fragmentada y estabilizar el consumo.</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Definir política de reciclado (por tiempo, por memoria o por horario). Comunicar a los usuarios que puede haber una latencia adicional en la primera petición tras el reciclado.</w:t>
            </w:r>
          </w:p>
        </w:tc>
      </w:tr>
      <w:tr>
        <w:tc>
          <w:tcPr>
            <w:tcW w:type="dxa" w:w="2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Conexiones a base de datos y pool</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Cada ejecución abre y libera conexiones al motor de datos. Bajo carga alta se satura el pool antes que la memoria.</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Monitorear el pool de conexiones. Asegurar la liberación en todos los caminos, incluido el de error.</w:t>
            </w:r>
          </w:p>
        </w:tc>
      </w:tr>
      <w:tr>
        <w:tc>
          <w:tcPr>
            <w:tcW w:type="dxa" w:w="22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Streaming de exportaciones grandes</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Exportaciones grandes (PDF o Excel de decenas de MB) fluyen del servidor al navegador del usuario. Consumen ancho de banda y memoria durante toda la descarga.</w:t>
            </w:r>
          </w:p>
        </w:tc>
        <w:tc>
          <w:tcPr>
            <w:tcW w:type="dxa" w:w="35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Establecer límite razonable de tamaño. Comunicar al usuario cuando un reporte esté cerca del umbral.</w:t>
            </w:r>
          </w:p>
        </w:tc>
      </w:tr>
      <w:tr>
        <w:tc>
          <w:tcPr>
            <w:tcW w:type="dxa" w:w="22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Licenciamiento del runtime en producción</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runtime de Crystal Reports para .NET puede estar sujeto a condiciones de licenciamiento por servidor, uso concurrente o distribución.</w:t>
            </w:r>
          </w:p>
        </w:tc>
        <w:tc>
          <w:tcPr>
            <w:tcW w:type="dxa" w:w="35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Validar con el proveedor los términos exactos antes del despliegue productivo, especialmente si el servidor será accedido por usuarios externos a la organización.</w:t>
            </w:r>
          </w:p>
        </w:tc>
      </w:tr>
    </w:tbl>
    <w:p>
      <w:pPr>
        <w:pBdr>
          <w:top w:val="single" w:color="FFEBEE" w:sz="4" w:space="4"/>
          <w:bottom w:val="single" w:color="FFEBEE" w:sz="4" w:space="4"/>
          <w:left w:val="single" w:color="FF0000" w:sz="24" w:space="12"/>
          <w:right w:val="single" w:color="FFEBEE" w:sz="4" w:space="4"/>
        </w:pBdr>
        <w:shd w:fill="FFEBEE" w:color="auto" w:val="clear"/>
        <w:spacing w:after="200" w:before="120"/>
        <w:jc w:val="both"/>
      </w:pPr>
      <w:r>
        <w:rPr>
          <w:rFonts w:ascii="Calibri" w:cs="Calibri" w:eastAsia="Calibri" w:hAnsi="Calibri"/>
          <w:b/>
          <w:bCs/>
          <w:color w:val="001522"/>
          <w:sz w:val="21"/>
          <w:szCs w:val="21"/>
        </w:rPr>
        <w:t xml:space="preserve">Estos riesgos no invalidan el modelo local. Definen su capacidad máxima. Por eso el criterio para migrar un reporte a ejecución local debe considerar el uso concurrente esperado, no solo la conveniencia de que el portal lo controle.</w:t>
      </w:r>
    </w:p>
    <w:p>
      <w:pPr>
        <w:pageBreakBefore/>
        <w:pBdr>
          <w:bottom w:val="single" w:color="FF0000" w:sz="12" w:space="2"/>
        </w:pBdr>
        <w:spacing w:after="180" w:before="0"/>
      </w:pPr>
      <w:r>
        <w:rPr>
          <w:rFonts w:ascii="Calibri" w:cs="Calibri" w:eastAsia="Calibri" w:hAnsi="Calibri"/>
          <w:b/>
          <w:bCs/>
          <w:color w:val="001522"/>
          <w:sz w:val="30"/>
          <w:szCs w:val="30"/>
        </w:rPr>
        <w:t xml:space="preserve">3. Decisión sobre failover automático de CMC a ejecución local</w:t>
      </w:r>
    </w:p>
    <w:p>
      <w:pPr>
        <w:spacing w:after="140"/>
        <w:jc w:val="both"/>
      </w:pPr>
      <w:r>
        <w:rPr>
          <w:rFonts w:ascii="Calibri" w:cs="Calibri" w:eastAsia="Calibri" w:hAnsi="Calibri"/>
          <w:sz w:val="20"/>
          <w:szCs w:val="20"/>
        </w:rPr>
        <w:t xml:space="preserve">Se evaluó incorporar un mecanismo por el cual, ante indisponibilidad del servidor externo, el portal ejecutara automáticamente la versión local del mismo reporte. La decisión es descartar este mecanismo por las razones que se detallan a continuación.</w:t>
      </w:r>
    </w:p>
    <w:p>
      <w:pPr>
        <w:spacing w:after="120" w:before="260"/>
      </w:pPr>
      <w:r>
        <w:rPr>
          <w:rFonts w:ascii="Calibri" w:cs="Calibri" w:eastAsia="Calibri" w:hAnsi="Calibri"/>
          <w:b/>
          <w:bCs/>
          <w:color w:val="001522"/>
          <w:sz w:val="24"/>
          <w:szCs w:val="24"/>
        </w:rPr>
        <w:t xml:space="preserve">3.1 Motivos del descarte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tblHeader/>
        </w:trPr>
        <w:tc>
          <w:tcPr>
            <w:tcW w:type="dxa" w:w="25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Motivo</w:t>
            </w:r>
          </w:p>
        </w:tc>
        <w:tc>
          <w:tcPr>
            <w:tcW w:type="dxa" w:w="68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Descripción</w:t>
            </w:r>
          </w:p>
        </w:tc>
      </w:tr>
      <w:tr>
        <w:tc>
          <w:tcPr>
            <w:tcW w:type="dxa" w:w="25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Falsos positivos</w:t>
            </w:r>
          </w:p>
        </w:tc>
        <w:tc>
          <w:tcPr>
            <w:tcW w:type="dxa" w:w="68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Los eventos que hacen que un servidor externo parezca caído (latencia alta, mantenimiento programado, saturación temporal) no siempre son verdaderos fallos. Reaccionar automáticamente los convierte en incidentes visibles.</w:t>
            </w:r>
          </w:p>
        </w:tc>
      </w:tr>
      <w:tr>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Traslado de saturación</w:t>
            </w:r>
          </w:p>
        </w:tc>
        <w:tc>
          <w:tcPr>
            <w:tcW w:type="dxa" w:w="68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Un reporte con alta concurrencia externa que caiga al modelo local sobrecarga inmediatamente al portal, que no fue dimensionado para esa demanda. El fallo se propaga en lugar de contenerse.</w:t>
            </w:r>
          </w:p>
        </w:tc>
      </w:tr>
      <w:tr>
        <w:tc>
          <w:tcPr>
            <w:tcW w:type="dxa" w:w="25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Experiencia inconsistente</w:t>
            </w:r>
          </w:p>
        </w:tc>
        <w:tc>
          <w:tcPr>
            <w:tcW w:type="dxa" w:w="68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visor del servidor externo y el visor del portal no son idénticos. Cambiar de uno a otro sin previo aviso confunde al usuario y genera reportes de soporte.</w:t>
            </w:r>
          </w:p>
        </w:tc>
      </w:tr>
      <w:tr>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Riesgo de datos distintos</w:t>
            </w:r>
          </w:p>
        </w:tc>
        <w:tc>
          <w:tcPr>
            <w:tcW w:type="dxa" w:w="68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El .rpt local puede haber divergido de la versión publicada en el servidor externo. Un failover silencioso presenta datos que pueden diferir sutilmente, sin que el usuario lo perciba.</w:t>
            </w:r>
          </w:p>
        </w:tc>
      </w:tr>
      <w:tr>
        <w:tc>
          <w:tcPr>
            <w:tcW w:type="dxa" w:w="25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Complejidad de mantenimiento</w:t>
            </w:r>
          </w:p>
        </w:tc>
        <w:tc>
          <w:tcPr>
            <w:tcW w:type="dxa" w:w="68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Debería mantenerse una tabla de equivalencia CMC ↔ local, además de reglas de detección, cierres circuito y reintentos. La superficie de lo que puede fallar crece más rápido que el beneficio.</w:t>
            </w:r>
          </w:p>
        </w:tc>
      </w:tr>
    </w:tbl>
    <w:p>
      <w:pPr>
        <w:spacing w:after="140"/>
        <w:jc w:val="both"/>
      </w:pPr>
      <w:r>
        <w:rPr>
          <w:rFonts w:ascii="Calibri" w:cs="Calibri" w:eastAsia="Calibri" w:hAnsi="Calibri"/>
          <w:sz w:val="20"/>
          <w:szCs w:val="20"/>
        </w:rPr>
        <w:t xml:space="preserve">En lugar del failover automático, se establece que la indisponibilidad del servidor externo se comunica al usuario con un mensaje claro y una recomendación explícita (por ejemplo, contactar a soporte o intentar más tarde). Cualquier ejecución en modo local, si se decide, será una acción consciente y trazable, no un fallback silencioso.</w:t>
      </w:r>
    </w:p>
    <w:p>
      <w:pPr>
        <w:pageBreakBefore/>
        <w:pBdr>
          <w:bottom w:val="single" w:color="FF0000" w:sz="12" w:space="2"/>
        </w:pBdr>
        <w:spacing w:after="180" w:before="0"/>
      </w:pPr>
      <w:r>
        <w:rPr>
          <w:rFonts w:ascii="Calibri" w:cs="Calibri" w:eastAsia="Calibri" w:hAnsi="Calibri"/>
          <w:b/>
          <w:bCs/>
          <w:color w:val="001522"/>
          <w:sz w:val="30"/>
          <w:szCs w:val="30"/>
        </w:rPr>
        <w:t xml:space="preserve">4. Auditoría de uso en el portal</w:t>
      </w:r>
    </w:p>
    <w:p>
      <w:pPr>
        <w:spacing w:after="140"/>
        <w:jc w:val="both"/>
      </w:pPr>
      <w:r>
        <w:rPr>
          <w:rFonts w:ascii="Calibri" w:cs="Calibri" w:eastAsia="Calibri" w:hAnsi="Calibri"/>
          <w:sz w:val="20"/>
          <w:szCs w:val="20"/>
        </w:rPr>
        <w:t xml:space="preserve">Las versiones de CMC en uso hoy no ofrecen una bitácora de consumo con la granularidad y accesibilidad que se requieren para tomar decisiones de gobierno de datos. Esta es una razón concreta, además del cumplimiento, para incorporar auditoría en el portal.</w:t>
      </w:r>
    </w:p>
    <w:p>
      <w:pPr>
        <w:spacing w:after="120" w:before="260"/>
      </w:pPr>
      <w:r>
        <w:rPr>
          <w:rFonts w:ascii="Calibri" w:cs="Calibri" w:eastAsia="Calibri" w:hAnsi="Calibri"/>
          <w:b/>
          <w:bCs/>
          <w:color w:val="001522"/>
          <w:sz w:val="24"/>
          <w:szCs w:val="24"/>
        </w:rPr>
        <w:t xml:space="preserve">4.1 Diseño mínimo acordado</w:t>
      </w:r>
    </w:p>
    <w:p>
      <w:pPr>
        <w:spacing w:after="140"/>
        <w:jc w:val="both"/>
      </w:pPr>
      <w:r>
        <w:rPr>
          <w:rFonts w:ascii="Calibri" w:cs="Calibri" w:eastAsia="Calibri" w:hAnsi="Calibri"/>
          <w:sz w:val="20"/>
          <w:szCs w:val="20"/>
        </w:rPr>
        <w:t xml:space="preserve">La capa de auditoría registrará por cada acción del usuario los siguientes atributos, sin excepción:</w:t>
      </w:r>
    </w:p>
    <w:p>
      <w:pPr>
        <w:pStyle w:val="ListParagraph"/>
        <w:numPr>
          <w:ilvl w:val="0"/>
          <w:numId w:val="1"/>
        </w:numPr>
        <w:spacing w:after="60"/>
        <w:jc w:val="both"/>
      </w:pPr>
      <w:r>
        <w:rPr>
          <w:rFonts w:ascii="Calibri" w:cs="Calibri" w:eastAsia="Calibri" w:hAnsi="Calibri"/>
          <w:b/>
          <w:bCs/>
          <w:sz w:val="20"/>
          <w:szCs w:val="20"/>
        </w:rPr>
        <w:t xml:space="preserve">Usuario: </w:t>
      </w:r>
      <w:r>
        <w:rPr>
          <w:rFonts w:ascii="Calibri" w:cs="Calibri" w:eastAsia="Calibri" w:hAnsi="Calibri"/>
          <w:sz w:val="20"/>
          <w:szCs w:val="20"/>
        </w:rPr>
        <w:t xml:space="preserve">identidad del dominio que ejecutó la acción.</w:t>
      </w:r>
    </w:p>
    <w:p>
      <w:pPr>
        <w:pStyle w:val="ListParagraph"/>
        <w:numPr>
          <w:ilvl w:val="0"/>
          <w:numId w:val="1"/>
        </w:numPr>
        <w:spacing w:after="60"/>
        <w:jc w:val="both"/>
      </w:pPr>
      <w:r>
        <w:rPr>
          <w:rFonts w:ascii="Calibri" w:cs="Calibri" w:eastAsia="Calibri" w:hAnsi="Calibri"/>
          <w:b/>
          <w:bCs/>
          <w:sz w:val="20"/>
          <w:szCs w:val="20"/>
        </w:rPr>
        <w:t xml:space="preserve">Reporte: </w:t>
      </w:r>
      <w:r>
        <w:rPr>
          <w:rFonts w:ascii="Calibri" w:cs="Calibri" w:eastAsia="Calibri" w:hAnsi="Calibri"/>
          <w:sz w:val="20"/>
          <w:szCs w:val="20"/>
        </w:rPr>
        <w:t xml:space="preserve">identificador único del reporte solicitado.</w:t>
      </w:r>
    </w:p>
    <w:p>
      <w:pPr>
        <w:pStyle w:val="ListParagraph"/>
        <w:numPr>
          <w:ilvl w:val="0"/>
          <w:numId w:val="1"/>
        </w:numPr>
        <w:spacing w:after="60"/>
        <w:jc w:val="both"/>
      </w:pPr>
      <w:r>
        <w:rPr>
          <w:rFonts w:ascii="Calibri" w:cs="Calibri" w:eastAsia="Calibri" w:hAnsi="Calibri"/>
          <w:b/>
          <w:bCs/>
          <w:sz w:val="20"/>
          <w:szCs w:val="20"/>
        </w:rPr>
        <w:t xml:space="preserve">Tipo: </w:t>
      </w:r>
      <w:r>
        <w:rPr>
          <w:rFonts w:ascii="Calibri" w:cs="Calibri" w:eastAsia="Calibri" w:hAnsi="Calibri"/>
          <w:sz w:val="20"/>
          <w:szCs w:val="20"/>
        </w:rPr>
        <w:t xml:space="preserve">local o enlace externo.</w:t>
      </w:r>
    </w:p>
    <w:p>
      <w:pPr>
        <w:pStyle w:val="ListParagraph"/>
        <w:numPr>
          <w:ilvl w:val="0"/>
          <w:numId w:val="1"/>
        </w:numPr>
        <w:spacing w:after="60"/>
        <w:jc w:val="both"/>
      </w:pPr>
      <w:r>
        <w:rPr>
          <w:rFonts w:ascii="Calibri" w:cs="Calibri" w:eastAsia="Calibri" w:hAnsi="Calibri"/>
          <w:b/>
          <w:bCs/>
          <w:sz w:val="20"/>
          <w:szCs w:val="20"/>
        </w:rPr>
        <w:t xml:space="preserve">Fecha y hora: </w:t>
      </w:r>
      <w:r>
        <w:rPr>
          <w:rFonts w:ascii="Calibri" w:cs="Calibri" w:eastAsia="Calibri" w:hAnsi="Calibri"/>
          <w:sz w:val="20"/>
          <w:szCs w:val="20"/>
        </w:rPr>
        <w:t xml:space="preserve">marca temporal con precisión de segundos.</w:t>
      </w:r>
    </w:p>
    <w:p>
      <w:pPr>
        <w:pStyle w:val="ListParagraph"/>
        <w:numPr>
          <w:ilvl w:val="0"/>
          <w:numId w:val="1"/>
        </w:numPr>
        <w:spacing w:after="60"/>
        <w:jc w:val="both"/>
      </w:pPr>
      <w:r>
        <w:rPr>
          <w:rFonts w:ascii="Calibri" w:cs="Calibri" w:eastAsia="Calibri" w:hAnsi="Calibri"/>
          <w:b/>
          <w:bCs/>
          <w:sz w:val="20"/>
          <w:szCs w:val="20"/>
        </w:rPr>
        <w:t xml:space="preserve">Parámetros: </w:t>
      </w:r>
      <w:r>
        <w:rPr>
          <w:rFonts w:ascii="Calibri" w:cs="Calibri" w:eastAsia="Calibri" w:hAnsi="Calibri"/>
          <w:sz w:val="20"/>
          <w:szCs w:val="20"/>
        </w:rPr>
        <w:t xml:space="preserve">valores efectivamente enviados al reporte (excluyendo valores sensibles cuando aplique).</w:t>
      </w:r>
    </w:p>
    <w:p>
      <w:pPr>
        <w:pStyle w:val="ListParagraph"/>
        <w:numPr>
          <w:ilvl w:val="0"/>
          <w:numId w:val="1"/>
        </w:numPr>
        <w:spacing w:after="60"/>
        <w:jc w:val="both"/>
      </w:pPr>
      <w:r>
        <w:rPr>
          <w:rFonts w:ascii="Calibri" w:cs="Calibri" w:eastAsia="Calibri" w:hAnsi="Calibri"/>
          <w:b/>
          <w:bCs/>
          <w:sz w:val="20"/>
          <w:szCs w:val="20"/>
        </w:rPr>
        <w:t xml:space="preserve">Resultado: </w:t>
      </w:r>
      <w:r>
        <w:rPr>
          <w:rFonts w:ascii="Calibri" w:cs="Calibri" w:eastAsia="Calibri" w:hAnsi="Calibri"/>
          <w:sz w:val="20"/>
          <w:szCs w:val="20"/>
        </w:rPr>
        <w:t xml:space="preserve">éxito, error o cancelación.</w:t>
      </w:r>
    </w:p>
    <w:p>
      <w:pPr>
        <w:spacing w:after="100"/>
      </w:pPr>
    </w:p>
    <w:p>
      <w:pPr>
        <w:spacing w:after="120" w:before="260"/>
      </w:pPr>
      <w:r>
        <w:rPr>
          <w:rFonts w:ascii="Calibri" w:cs="Calibri" w:eastAsia="Calibri" w:hAnsi="Calibri"/>
          <w:b/>
          <w:bCs/>
          <w:color w:val="001522"/>
          <w:sz w:val="24"/>
          <w:szCs w:val="24"/>
        </w:rPr>
        <w:t xml:space="preserve">4.2 Beneficios esperados</w:t>
      </w:r>
    </w:p>
    <w:p>
      <w:pPr>
        <w:spacing w:after="140"/>
        <w:jc w:val="both"/>
      </w:pPr>
      <w:r>
        <w:rPr>
          <w:rFonts w:ascii="Calibri" w:cs="Calibri" w:eastAsia="Calibri" w:hAnsi="Calibri"/>
          <w:sz w:val="20"/>
          <w:szCs w:val="20"/>
        </w:rPr>
        <w:t xml:space="preserve">Más allá del cumplimiento y la trazabilidad, la auditoría es la base sobre la cual se decidirá con datos —no con supuestos— qué reportes migrar a ejecución local, cuáles retirar por desuso, y cuáles justifican inversión en optimización. Sin esta capa, cualquier decisión de reingeniería posterior descansa sobre percepciones.</w:t>
      </w:r>
    </w:p>
    <w:p>
      <w:pPr>
        <w:pageBreakBefore/>
        <w:pBdr>
          <w:bottom w:val="single" w:color="FF0000" w:sz="12" w:space="2"/>
        </w:pBdr>
        <w:spacing w:after="180" w:before="0"/>
      </w:pPr>
      <w:r>
        <w:rPr>
          <w:rFonts w:ascii="Calibri" w:cs="Calibri" w:eastAsia="Calibri" w:hAnsi="Calibri"/>
          <w:b/>
          <w:bCs/>
          <w:color w:val="001522"/>
          <w:sz w:val="30"/>
          <w:szCs w:val="30"/>
        </w:rPr>
        <w:t xml:space="preserve">5. Estado de las versiones de CMC actualmente en uso</w:t>
      </w:r>
    </w:p>
    <w:p>
      <w:pPr>
        <w:spacing w:after="140"/>
        <w:jc w:val="both"/>
      </w:pPr>
      <w:r>
        <w:rPr>
          <w:rFonts w:ascii="Calibri" w:cs="Calibri" w:eastAsia="Calibri" w:hAnsi="Calibri"/>
          <w:sz w:val="20"/>
          <w:szCs w:val="20"/>
        </w:rPr>
        <w:t xml:space="preserve">Las versiones de SAP BusinessObjects Enterprise (BOE) que hoy están en producción se encuentran fuera del ciclo de soporte oficial del fabricante. Este hecho es un factor determinante para justificar el portal como vía de modernización sin necesidad de adquirir Crystal Reports Server en su versión actual.</w:t>
      </w:r>
    </w:p>
    <w:p>
      <w:pPr>
        <w:spacing w:after="120" w:before="260"/>
      </w:pPr>
      <w:r>
        <w:rPr>
          <w:rFonts w:ascii="Calibri" w:cs="Calibri" w:eastAsia="Calibri" w:hAnsi="Calibri"/>
          <w:b/>
          <w:bCs/>
          <w:color w:val="001522"/>
          <w:sz w:val="24"/>
          <w:szCs w:val="24"/>
        </w:rPr>
        <w:t xml:space="preserve">5.1 Situación de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80"/>
        <w:gridCol w:w="3480"/>
      </w:tblGrid>
      <w:tr>
        <w:trPr>
          <w:tblHeader/>
        </w:trPr>
        <w:tc>
          <w:tcPr>
            <w:tcW w:type="dxa" w:w="24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Versión</w:t>
            </w:r>
          </w:p>
        </w:tc>
        <w:tc>
          <w:tcPr>
            <w:tcW w:type="dxa" w:w="34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Estado de soporte</w:t>
            </w:r>
          </w:p>
        </w:tc>
        <w:tc>
          <w:tcPr>
            <w:tcW w:type="dxa" w:w="348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Implicación</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BOE XI R2 / R3</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Fuera de soporte desde 2015</w:t>
            </w:r>
          </w:p>
        </w:tc>
        <w:tc>
          <w:tcPr>
            <w:tcW w:type="dxa" w:w="348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Sin parches de seguridad; brechas conocidas sin remediación oficial.</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BOE 4.1</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Fuera de soporte desde 2020</w:t>
            </w:r>
          </w:p>
        </w:tc>
        <w:tc>
          <w:tcPr>
            <w:tcW w:type="dxa" w:w="348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Sin parches ni nuevas correcciones; dependencia de mitigaciones internas.</w:t>
            </w:r>
          </w:p>
        </w:tc>
      </w:tr>
    </w:tbl>
    <w:p>
      <w:pPr>
        <w:spacing w:after="120" w:before="260"/>
      </w:pPr>
      <w:r>
        <w:rPr>
          <w:rFonts w:ascii="Calibri" w:cs="Calibri" w:eastAsia="Calibri" w:hAnsi="Calibri"/>
          <w:b/>
          <w:bCs/>
          <w:color w:val="001522"/>
          <w:sz w:val="24"/>
          <w:szCs w:val="24"/>
        </w:rPr>
        <w:t xml:space="preserve">5.2 Implicaciones de cumplimiento y ciberseguridad</w:t>
      </w:r>
    </w:p>
    <w:p>
      <w:pPr>
        <w:spacing w:after="140"/>
        <w:jc w:val="both"/>
      </w:pPr>
      <w:r>
        <w:rPr>
          <w:rFonts w:ascii="Calibri" w:cs="Calibri" w:eastAsia="Calibri" w:hAnsi="Calibri"/>
          <w:sz w:val="20"/>
          <w:szCs w:val="20"/>
        </w:rPr>
        <w:t xml:space="preserve">Operar plataformas sin soporte activo del fabricante representa exposición en dos frentes. En cumplimiento, dificulta demostrar diligencia razonable ante auditorías internas o de terceros. En ciberseguridad, deja sin remediación las vulnerabilidades que se descubran a partir del fin de soporte, y priva al equipo interno del canal de escalamiento formal ante incidentes.</w:t>
      </w:r>
    </w:p>
    <w:p>
      <w:pPr>
        <w:spacing w:after="140"/>
        <w:jc w:val="both"/>
      </w:pPr>
      <w:r>
        <w:rPr>
          <w:rFonts w:ascii="Calibri" w:cs="Calibri" w:eastAsia="Calibri" w:hAnsi="Calibri"/>
          <w:sz w:val="20"/>
          <w:szCs w:val="20"/>
        </w:rPr>
        <w:t xml:space="preserve">El portal no elimina estos riesgos por sí mismo, pero permite construir una vía de salida gradual que no depende de adquirir una nueva versión de Crystal Reports Server. Los reportes que se ejecutan localmente en el portal dejan de depender del servidor externo, y los que permanecen como enlaces quedan identificados y priorizables para migración o retiro.</w:t>
      </w:r>
    </w:p>
    <w:p>
      <w:pPr>
        <w:pageBreakBefore/>
        <w:pBdr>
          <w:bottom w:val="single" w:color="FF0000" w:sz="12" w:space="2"/>
        </w:pBdr>
        <w:spacing w:after="180" w:before="0"/>
      </w:pPr>
      <w:r>
        <w:rPr>
          <w:rFonts w:ascii="Calibri" w:cs="Calibri" w:eastAsia="Calibri" w:hAnsi="Calibri"/>
          <w:b/>
          <w:bCs/>
          <w:color w:val="001522"/>
          <w:sz w:val="30"/>
          <w:szCs w:val="30"/>
        </w:rPr>
        <w:t xml:space="preserve">6. Universos y listas de valores (LOV)</w:t>
      </w:r>
    </w:p>
    <w:p>
      <w:pPr>
        <w:spacing w:after="140"/>
        <w:jc w:val="both"/>
      </w:pPr>
      <w:r>
        <w:rPr>
          <w:rFonts w:ascii="Calibri" w:cs="Calibri" w:eastAsia="Calibri" w:hAnsi="Calibri"/>
          <w:sz w:val="20"/>
          <w:szCs w:val="20"/>
        </w:rPr>
        <w:t xml:space="preserve">En muchas organizaciones los universos de la plataforma de reportes fueron construidos, en la práctica, para servir listas de valores (LOV) y prompts dinámicos a los reportes. Cuando ese es su único uso real, se vuelven dispensables si el portal puede resolver las mismas LOV desde su propia capa de datos.</w:t>
      </w:r>
    </w:p>
    <w:p>
      <w:pPr>
        <w:spacing w:after="120" w:before="260"/>
      </w:pPr>
      <w:r>
        <w:rPr>
          <w:rFonts w:ascii="Calibri" w:cs="Calibri" w:eastAsia="Calibri" w:hAnsi="Calibri"/>
          <w:b/>
          <w:bCs/>
          <w:color w:val="001522"/>
          <w:sz w:val="24"/>
          <w:szCs w:val="24"/>
        </w:rPr>
        <w:t xml:space="preserve">6.1 Validación previa obligatoria</w:t>
      </w:r>
    </w:p>
    <w:p>
      <w:pPr>
        <w:spacing w:after="140"/>
        <w:jc w:val="both"/>
      </w:pPr>
      <w:r>
        <w:rPr>
          <w:rFonts w:ascii="Calibri" w:cs="Calibri" w:eastAsia="Calibri" w:hAnsi="Calibri"/>
          <w:sz w:val="20"/>
          <w:szCs w:val="20"/>
        </w:rPr>
        <w:t xml:space="preserve">Antes de retirar un universo se debe revisar reporte por reporte qué toma cada uno de ese universo. Los elementos a inventariar son:</w:t>
      </w:r>
    </w:p>
    <w:p>
      <w:pPr>
        <w:pStyle w:val="ListParagraph"/>
        <w:numPr>
          <w:ilvl w:val="0"/>
          <w:numId w:val="1"/>
        </w:numPr>
        <w:spacing w:after="60"/>
        <w:jc w:val="both"/>
      </w:pPr>
      <w:r>
        <w:rPr>
          <w:rFonts w:ascii="Calibri" w:cs="Calibri" w:eastAsia="Calibri" w:hAnsi="Calibri"/>
          <w:b/>
          <w:bCs/>
          <w:sz w:val="20"/>
          <w:szCs w:val="20"/>
        </w:rPr>
        <w:t xml:space="preserve">Listas de valores (LOV): </w:t>
      </w:r>
      <w:r>
        <w:rPr>
          <w:rFonts w:ascii="Calibri" w:cs="Calibri" w:eastAsia="Calibri" w:hAnsi="Calibri"/>
          <w:sz w:val="20"/>
          <w:szCs w:val="20"/>
        </w:rPr>
        <w:t xml:space="preserve">consultas que pueblan los prompts del reporte.</w:t>
      </w:r>
    </w:p>
    <w:p>
      <w:pPr>
        <w:pStyle w:val="ListParagraph"/>
        <w:numPr>
          <w:ilvl w:val="0"/>
          <w:numId w:val="1"/>
        </w:numPr>
        <w:spacing w:after="60"/>
        <w:jc w:val="both"/>
      </w:pPr>
      <w:r>
        <w:rPr>
          <w:rFonts w:ascii="Calibri" w:cs="Calibri" w:eastAsia="Calibri" w:hAnsi="Calibri"/>
          <w:b/>
          <w:bCs/>
          <w:sz w:val="20"/>
          <w:szCs w:val="20"/>
        </w:rPr>
        <w:t xml:space="preserve">Uniones (joins): </w:t>
      </w:r>
      <w:r>
        <w:rPr>
          <w:rFonts w:ascii="Calibri" w:cs="Calibri" w:eastAsia="Calibri" w:hAnsi="Calibri"/>
          <w:sz w:val="20"/>
          <w:szCs w:val="20"/>
        </w:rPr>
        <w:t xml:space="preserve">relaciones entre tablas resueltas en el universo, no en el reporte.</w:t>
      </w:r>
    </w:p>
    <w:p>
      <w:pPr>
        <w:pStyle w:val="ListParagraph"/>
        <w:numPr>
          <w:ilvl w:val="0"/>
          <w:numId w:val="1"/>
        </w:numPr>
        <w:spacing w:after="60"/>
        <w:jc w:val="both"/>
      </w:pPr>
      <w:r>
        <w:rPr>
          <w:rFonts w:ascii="Calibri" w:cs="Calibri" w:eastAsia="Calibri" w:hAnsi="Calibri"/>
          <w:b/>
          <w:bCs/>
          <w:sz w:val="20"/>
          <w:szCs w:val="20"/>
        </w:rPr>
        <w:t xml:space="preserve">Agregaciones y métricas calculadas: </w:t>
      </w:r>
      <w:r>
        <w:rPr>
          <w:rFonts w:ascii="Calibri" w:cs="Calibri" w:eastAsia="Calibri" w:hAnsi="Calibri"/>
          <w:sz w:val="20"/>
          <w:szCs w:val="20"/>
        </w:rPr>
        <w:t xml:space="preserve">objetos derivados definidos a nivel del universo.</w:t>
      </w:r>
    </w:p>
    <w:p>
      <w:pPr>
        <w:pStyle w:val="ListParagraph"/>
        <w:numPr>
          <w:ilvl w:val="0"/>
          <w:numId w:val="1"/>
        </w:numPr>
        <w:spacing w:after="60"/>
        <w:jc w:val="both"/>
      </w:pPr>
      <w:r>
        <w:rPr>
          <w:rFonts w:ascii="Calibri" w:cs="Calibri" w:eastAsia="Calibri" w:hAnsi="Calibri"/>
          <w:b/>
          <w:bCs/>
          <w:sz w:val="20"/>
          <w:szCs w:val="20"/>
        </w:rPr>
        <w:t xml:space="preserve">Seguridad por filas (row-level security): </w:t>
      </w:r>
      <w:r>
        <w:rPr>
          <w:rFonts w:ascii="Calibri" w:cs="Calibri" w:eastAsia="Calibri" w:hAnsi="Calibri"/>
          <w:sz w:val="20"/>
          <w:szCs w:val="20"/>
        </w:rPr>
        <w:t xml:space="preserve">filtros que restringen qué datos ve cada usuario según su perfil.</w:t>
      </w:r>
    </w:p>
    <w:p>
      <w:pPr>
        <w:pStyle w:val="ListParagraph"/>
        <w:numPr>
          <w:ilvl w:val="0"/>
          <w:numId w:val="1"/>
        </w:numPr>
        <w:spacing w:after="60"/>
        <w:jc w:val="both"/>
      </w:pPr>
      <w:r>
        <w:rPr>
          <w:rFonts w:ascii="Calibri" w:cs="Calibri" w:eastAsia="Calibri" w:hAnsi="Calibri"/>
          <w:b/>
          <w:bCs/>
          <w:sz w:val="20"/>
          <w:szCs w:val="20"/>
        </w:rPr>
        <w:t xml:space="preserve">Objetos de negocio compartidos: </w:t>
      </w:r>
      <w:r>
        <w:rPr>
          <w:rFonts w:ascii="Calibri" w:cs="Calibri" w:eastAsia="Calibri" w:hAnsi="Calibri"/>
          <w:sz w:val="20"/>
          <w:szCs w:val="20"/>
        </w:rPr>
        <w:t xml:space="preserve">dimensiones y jerarquías reutilizadas por múltiples reportes.</w:t>
      </w:r>
    </w:p>
    <w:p>
      <w:pPr>
        <w:spacing w:after="100"/>
      </w:pPr>
    </w:p>
    <w:p>
      <w:pPr>
        <w:spacing w:after="120" w:before="260"/>
      </w:pPr>
      <w:r>
        <w:rPr>
          <w:rFonts w:ascii="Calibri" w:cs="Calibri" w:eastAsia="Calibri" w:hAnsi="Calibri"/>
          <w:b/>
          <w:bCs/>
          <w:color w:val="001522"/>
          <w:sz w:val="24"/>
          <w:szCs w:val="24"/>
        </w:rPr>
        <w:t xml:space="preserve">6.2 Riesgo específico: seguridad por filas</w:t>
      </w:r>
    </w:p>
    <w:p>
      <w:pPr>
        <w:pBdr>
          <w:top w:val="single" w:color="FFEBEE" w:sz="4" w:space="4"/>
          <w:bottom w:val="single" w:color="FFEBEE" w:sz="4" w:space="4"/>
          <w:left w:val="single" w:color="FF0000" w:sz="24" w:space="12"/>
          <w:right w:val="single" w:color="FFEBEE" w:sz="4" w:space="4"/>
        </w:pBdr>
        <w:shd w:fill="FFEBEE" w:color="auto" w:val="clear"/>
        <w:spacing w:after="200" w:before="120"/>
        <w:jc w:val="both"/>
      </w:pPr>
      <w:r>
        <w:rPr>
          <w:rFonts w:ascii="Calibri" w:cs="Calibri" w:eastAsia="Calibri" w:hAnsi="Calibri"/>
          <w:b/>
          <w:bCs/>
          <w:color w:val="001522"/>
          <w:sz w:val="21"/>
          <w:szCs w:val="21"/>
        </w:rPr>
        <w:t xml:space="preserve">Si el universo aplicaba seguridad por filas y se migra un reporte sin replicar ese filtro en la capa correspondiente, el reporte queda técnicamente funcional pero expone datos que antes estaban restringidos. Este es el riesgo más grave asociado al retiro de universos y debe ser validado explícitamente antes de retirar cualquiera de ellos.</w:t>
      </w:r>
    </w:p>
    <w:p>
      <w:pPr>
        <w:spacing w:after="120" w:before="260"/>
      </w:pPr>
      <w:r>
        <w:rPr>
          <w:rFonts w:ascii="Calibri" w:cs="Calibri" w:eastAsia="Calibri" w:hAnsi="Calibri"/>
          <w:b/>
          <w:bCs/>
          <w:color w:val="001522"/>
          <w:sz w:val="24"/>
          <w:szCs w:val="24"/>
        </w:rPr>
        <w:t xml:space="preserve">6.3 Nuevo punto de gobierno</w:t>
      </w:r>
    </w:p>
    <w:p>
      <w:pPr>
        <w:spacing w:after="140"/>
        <w:jc w:val="both"/>
      </w:pPr>
      <w:r>
        <w:rPr>
          <w:rFonts w:ascii="Calibri" w:cs="Calibri" w:eastAsia="Calibri" w:hAnsi="Calibri"/>
          <w:sz w:val="20"/>
          <w:szCs w:val="20"/>
        </w:rPr>
        <w:t xml:space="preserve">Al resolver LOV, uniones y filtros en el portal en lugar del universo, la responsabilidad de mantener esas definiciones se traslada al equipo que mantiene el portal. Esto no es un problema en sí mismo, pero debe reconocerse como un cambio de propiedad y reflejarse en la documentación operativa y en el reparto de responsabilidades del área de BI.</w:t>
      </w:r>
    </w:p>
    <w:p>
      <w:pPr>
        <w:pageBreakBefore/>
        <w:pBdr>
          <w:bottom w:val="single" w:color="FF0000" w:sz="12" w:space="2"/>
        </w:pBdr>
        <w:spacing w:after="180" w:before="0"/>
      </w:pPr>
      <w:r>
        <w:rPr>
          <w:rFonts w:ascii="Calibri" w:cs="Calibri" w:eastAsia="Calibri" w:hAnsi="Calibri"/>
          <w:b/>
          <w:bCs/>
          <w:color w:val="001522"/>
          <w:sz w:val="30"/>
          <w:szCs w:val="30"/>
        </w:rPr>
        <w:t xml:space="preserve">7. Soporte a largo plazo del SDK Crystal Reports para .NET</w:t>
      </w:r>
    </w:p>
    <w:p>
      <w:pPr>
        <w:spacing w:after="140"/>
        <w:jc w:val="both"/>
      </w:pPr>
      <w:r>
        <w:rPr>
          <w:rFonts w:ascii="Calibri" w:cs="Calibri" w:eastAsia="Calibri" w:hAnsi="Calibri"/>
          <w:sz w:val="20"/>
          <w:szCs w:val="20"/>
        </w:rPr>
        <w:t xml:space="preserve">La elección del SDK de Crystal Reports para .NET como motor de ejecución local requiere entender su situación como producto y su ciclo de vida realista.</w:t>
      </w:r>
    </w:p>
    <w:p>
      <w:pPr>
        <w:spacing w:after="120" w:before="260"/>
      </w:pPr>
      <w:r>
        <w:rPr>
          <w:rFonts w:ascii="Calibri" w:cs="Calibri" w:eastAsia="Calibri" w:hAnsi="Calibri"/>
          <w:b/>
          <w:bCs/>
          <w:color w:val="001522"/>
          <w:sz w:val="24"/>
          <w:szCs w:val="24"/>
        </w:rPr>
        <w:t xml:space="preserve">7.1 Situación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Aspecto</w:t>
            </w:r>
          </w:p>
        </w:tc>
        <w:tc>
          <w:tcPr>
            <w:tcW w:type="dxa" w:w="67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Situación actual</w:t>
            </w:r>
          </w:p>
        </w:tc>
      </w:tr>
      <w:tr>
        <w:tc>
          <w:tcPr>
            <w:tcW w:type="dxa" w:w="26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Madurez del producto</w:t>
            </w:r>
          </w:p>
        </w:tc>
        <w:tc>
          <w:tcPr>
            <w:tcW w:type="dxa" w:w="67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Maduro. No hay evolución activa en funcionalidad ni en rendimiento.</w:t>
            </w:r>
          </w:p>
        </w:tc>
      </w:tr>
      <w:tr>
        <w:tc>
          <w:tcPr>
            <w:tcW w:type="dxa" w:w="26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Base de instalación</w:t>
            </w:r>
          </w:p>
        </w:tc>
        <w:tc>
          <w:tcPr>
            <w:tcW w:type="dxa" w:w="67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Amplia, especialmente en aplicaciones .NET Framework de misión crítica.</w:t>
            </w:r>
          </w:p>
        </w:tc>
      </w:tr>
      <w:tr>
        <w:tc>
          <w:tcPr>
            <w:tcW w:type="dxa" w:w="26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Compatibilidad con .NET</w:t>
            </w:r>
          </w:p>
        </w:tc>
        <w:tc>
          <w:tcPr>
            <w:tcW w:type="dxa" w:w="67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Exclusivamente .NET Framework. Sin soporte para .NET Core, .NET 5, 6 u 8.</w:t>
            </w:r>
          </w:p>
        </w:tc>
      </w:tr>
      <w:tr>
        <w:tc>
          <w:tcPr>
            <w:tcW w:type="dxa" w:w="26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Versión de referencia utilizada</w:t>
            </w:r>
          </w:p>
        </w:tc>
        <w:tc>
          <w:tcPr>
            <w:tcW w:type="dxa" w:w="67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Crystal Reports 2020.</w:t>
            </w:r>
          </w:p>
        </w:tc>
      </w:tr>
      <w:tr>
        <w:tc>
          <w:tcPr>
            <w:tcW w:type="dxa" w:w="26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Estado del mantenimiento</w:t>
            </w:r>
          </w:p>
        </w:tc>
        <w:tc>
          <w:tcPr>
            <w:tcW w:type="dxa" w:w="67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Mantenimiento estándar hasta fin de 2024. Mantenimiento extendido disponible bajo contrato con el fabricante.</w:t>
            </w:r>
          </w:p>
        </w:tc>
      </w:tr>
    </w:tbl>
    <w:p>
      <w:pPr>
        <w:spacing w:after="120" w:before="260"/>
      </w:pPr>
      <w:r>
        <w:rPr>
          <w:rFonts w:ascii="Calibri" w:cs="Calibri" w:eastAsia="Calibri" w:hAnsi="Calibri"/>
          <w:b/>
          <w:bCs/>
          <w:color w:val="001522"/>
          <w:sz w:val="24"/>
          <w:szCs w:val="24"/>
        </w:rPr>
        <w:t xml:space="preserve">7.2 Plataforma base: .NET Framework 4.8</w:t>
      </w:r>
    </w:p>
    <w:p>
      <w:pPr>
        <w:spacing w:after="140"/>
        <w:jc w:val="both"/>
      </w:pPr>
      <w:r>
        <w:rPr>
          <w:rFonts w:ascii="Calibri" w:cs="Calibri" w:eastAsia="Calibri" w:hAnsi="Calibri"/>
          <w:sz w:val="20"/>
          <w:szCs w:val="20"/>
        </w:rPr>
        <w:t xml:space="preserve">.NET Framework 4.8 es la última versión de la rama clásica de .NET. Microsoft ha declarado que no hay fecha anunciada de retiro y que continuará recibiendo actualizaciones de seguridad como parte del sistema operativo Windows. No obstante, no se agregarán nuevas características ni mejoras de rendimiento significativas.</w:t>
      </w:r>
    </w:p>
    <w:p>
      <w:pPr>
        <w:spacing w:after="120" w:before="260"/>
      </w:pPr>
      <w:r>
        <w:rPr>
          <w:rFonts w:ascii="Calibri" w:cs="Calibri" w:eastAsia="Calibri" w:hAnsi="Calibri"/>
          <w:b/>
          <w:bCs/>
          <w:color w:val="001522"/>
          <w:sz w:val="24"/>
          <w:szCs w:val="24"/>
        </w:rPr>
        <w:t xml:space="preserve">7.3 Horizonte de vida útil</w:t>
      </w:r>
    </w:p>
    <w:p>
      <w:pPr>
        <w:spacing w:after="140"/>
        <w:jc w:val="both"/>
      </w:pPr>
      <w:r>
        <w:rPr>
          <w:rFonts w:ascii="Calibri" w:cs="Calibri" w:eastAsia="Calibri" w:hAnsi="Calibri"/>
          <w:sz w:val="20"/>
          <w:szCs w:val="20"/>
        </w:rPr>
        <w:t xml:space="preserve">La combinación de un producto maduro sin evolución activa, más una plataforma base congelada, define el horizonte de vida útil realista de esta arquitectura: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tblHeader/>
        </w:trPr>
        <w:tc>
          <w:tcPr>
            <w:tcW w:type="dxa" w:w="19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Horizonte</w:t>
            </w:r>
          </w:p>
        </w:tc>
        <w:tc>
          <w:tcPr>
            <w:tcW w:type="dxa" w:w="74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Evaluación</w:t>
            </w:r>
          </w:p>
        </w:tc>
      </w:tr>
      <w:tr>
        <w:tc>
          <w:tcPr>
            <w:tcW w:type="dxa" w:w="19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5 a 10 años</w:t>
            </w:r>
          </w:p>
        </w:tc>
        <w:tc>
          <w:tcPr>
            <w:tcW w:type="dxa" w:w="74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Viable sin sorpresas mayores, siempre que se mantenga la disciplina operativa (reciclado, monitoreo, capacidad).</w:t>
            </w:r>
          </w:p>
        </w:tc>
      </w:tr>
      <w:tr>
        <w:tc>
          <w:tcPr>
            <w:tcW w:type="dxa" w:w="19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10 a 15 años</w:t>
            </w:r>
          </w:p>
        </w:tc>
        <w:tc>
          <w:tcPr>
            <w:tcW w:type="dxa" w:w="74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Aceptable como plan B, pero con creciente riesgo de obsolescencia. Debería tenerse una evaluación de alternativas ya avanzada.</w:t>
            </w:r>
          </w:p>
        </w:tc>
      </w:tr>
      <w:tr>
        <w:tc>
          <w:tcPr>
            <w:tcW w:type="dxa" w:w="19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Más allá de 15 años</w:t>
            </w:r>
          </w:p>
        </w:tc>
        <w:tc>
          <w:tcPr>
            <w:tcW w:type="dxa" w:w="74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No es una apuesta responsable. Requerirá un cambio de plataforma antes de llegar a ese horizonte.</w:t>
            </w:r>
          </w:p>
        </w:tc>
      </w:tr>
    </w:tbl>
    <w:p>
      <w:pPr>
        <w:pBdr>
          <w:top w:val="single" w:color="FFEBEE" w:sz="4" w:space="4"/>
          <w:bottom w:val="single" w:color="FFEBEE" w:sz="4" w:space="4"/>
          <w:left w:val="single" w:color="FF0000" w:sz="24" w:space="12"/>
          <w:right w:val="single" w:color="FFEBEE" w:sz="4" w:space="4"/>
        </w:pBdr>
        <w:shd w:fill="FFEBEE" w:color="auto" w:val="clear"/>
        <w:spacing w:after="200" w:before="120"/>
        <w:jc w:val="both"/>
      </w:pPr>
      <w:r>
        <w:rPr>
          <w:rFonts w:ascii="Calibri" w:cs="Calibri" w:eastAsia="Calibri" w:hAnsi="Calibri"/>
          <w:b/>
          <w:bCs/>
          <w:color w:val="001522"/>
          <w:sz w:val="21"/>
          <w:szCs w:val="21"/>
        </w:rPr>
        <w:t xml:space="preserve">El portal es una solución adecuada para el mediano plazo. No es una apuesta para 20 años, ni debe presentarse como tal ante la organización.</w:t>
      </w:r>
    </w:p>
    <w:p>
      <w:pPr>
        <w:pageBreakBefore/>
        <w:pBdr>
          <w:bottom w:val="single" w:color="FF0000" w:sz="12" w:space="2"/>
        </w:pBdr>
        <w:spacing w:after="180" w:before="0"/>
      </w:pPr>
      <w:r>
        <w:rPr>
          <w:rFonts w:ascii="Calibri" w:cs="Calibri" w:eastAsia="Calibri" w:hAnsi="Calibri"/>
          <w:b/>
          <w:bCs/>
          <w:color w:val="001522"/>
          <w:sz w:val="30"/>
          <w:szCs w:val="30"/>
        </w:rPr>
        <w:t xml:space="preserve">8. Alternativas futuras a considerar</w:t>
      </w:r>
    </w:p>
    <w:p>
      <w:pPr>
        <w:spacing w:after="140"/>
        <w:jc w:val="both"/>
      </w:pPr>
      <w:r>
        <w:rPr>
          <w:rFonts w:ascii="Calibri" w:cs="Calibri" w:eastAsia="Calibri" w:hAnsi="Calibri"/>
          <w:sz w:val="20"/>
          <w:szCs w:val="20"/>
        </w:rPr>
        <w:t xml:space="preserve">Sin que constituya una decisión ni una acción inmediata, se dejan en el radar las siguientes alternativas para evaluación formal en el horizonte de mediano plazo. Cada una tiene fortalezas y limitaciones que solo pueden juzgarse con datos reales de uso del portal, los cuales se obtendrán con la capa de auditoría (Sección 4).</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500"/>
        <w:gridCol w:w="4260"/>
      </w:tblGrid>
      <w:tr>
        <w:trPr>
          <w:tblHeader/>
        </w:trPr>
        <w:tc>
          <w:tcPr>
            <w:tcW w:type="dxa" w:w="26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Alternativa</w:t>
            </w:r>
          </w:p>
        </w:tc>
        <w:tc>
          <w:tcPr>
            <w:tcW w:type="dxa" w:w="25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Naturaleza</w:t>
            </w:r>
          </w:p>
        </w:tc>
        <w:tc>
          <w:tcPr>
            <w:tcW w:type="dxa" w:w="42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Observación preliminar</w:t>
            </w:r>
          </w:p>
        </w:tc>
      </w:tr>
      <w:tr>
        <w:tc>
          <w:tcPr>
            <w:tcW w:type="dxa" w:w="26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SQL Server Reporting Services (SSRS)</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Servidor de reportes de Microsoft, incluido con SQL Server</w:t>
            </w:r>
          </w:p>
        </w:tc>
        <w:tc>
          <w:tcPr>
            <w:tcW w:type="dxa" w:w="42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Sin costo adicional si ya existe licenciamiento de SQL Server. No es compatible directamente con .rpt: los reportes deben rediseñarse.</w:t>
            </w:r>
          </w:p>
        </w:tc>
      </w:tr>
      <w:tr>
        <w:tc>
          <w:tcPr>
            <w:tcW w:type="dxa" w:w="26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Power BI Report Server</w:t>
            </w:r>
          </w:p>
        </w:tc>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Servidor local de Power BI con capacidad para reportes paginados</w:t>
            </w:r>
          </w:p>
        </w:tc>
        <w:tc>
          <w:tcPr>
            <w:tcW w:type="dxa" w:w="42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Combina reportes analíticos modernos con reportes tradicionales. Licenciamiento a validar; migración de .rpt requiere trabajo significativo.</w:t>
            </w:r>
          </w:p>
        </w:tc>
      </w:tr>
      <w:tr>
        <w:tc>
          <w:tcPr>
            <w:tcW w:type="dxa" w:w="26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Crystal Reports Server versión actual</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Suite comercial del fabricante original</w:t>
            </w:r>
          </w:p>
        </w:tc>
        <w:tc>
          <w:tcPr>
            <w:tcW w:type="dxa" w:w="42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Continuidad de la familia Crystal, con soporte activo. Requiere adquisición nueva. Preserva la inversión en .rpt existentes.</w:t>
            </w:r>
          </w:p>
        </w:tc>
      </w:tr>
    </w:tbl>
    <w:p>
      <w:pPr>
        <w:spacing w:after="140"/>
        <w:jc w:val="both"/>
      </w:pPr>
      <w:r>
        <w:rPr>
          <w:rFonts w:ascii="Calibri" w:cs="Calibri" w:eastAsia="Calibri" w:hAnsi="Calibri"/>
          <w:sz w:val="20"/>
          <w:szCs w:val="20"/>
        </w:rPr>
        <w:t xml:space="preserve">Ninguna de estas alternativas se descarta ni se recomienda en este momento. La evaluación formal se realizará en la fase 3 del plan (Sección 9), cuando haya datos de uso reales del portal para dimensionar la carga real y los reportes verdaderamente críticos.</w:t>
      </w:r>
    </w:p>
    <w:p>
      <w:pPr>
        <w:pageBreakBefore/>
        <w:pBdr>
          <w:bottom w:val="single" w:color="FF0000" w:sz="12" w:space="2"/>
        </w:pBdr>
        <w:spacing w:after="180" w:before="0"/>
      </w:pPr>
      <w:r>
        <w:rPr>
          <w:rFonts w:ascii="Calibri" w:cs="Calibri" w:eastAsia="Calibri" w:hAnsi="Calibri"/>
          <w:b/>
          <w:bCs/>
          <w:color w:val="001522"/>
          <w:sz w:val="30"/>
          <w:szCs w:val="30"/>
        </w:rPr>
        <w:t xml:space="preserve">9. Recomendación estratégica en tres fases</w:t>
      </w:r>
    </w:p>
    <w:p>
      <w:pPr>
        <w:spacing w:after="140"/>
        <w:jc w:val="both"/>
      </w:pPr>
      <w:r>
        <w:rPr>
          <w:rFonts w:ascii="Calibri" w:cs="Calibri" w:eastAsia="Calibri" w:hAnsi="Calibri"/>
          <w:sz w:val="20"/>
          <w:szCs w:val="20"/>
        </w:rPr>
        <w:t xml:space="preserve">La estrategia se plantea en tres fases secuenciales, cada una con un propósito claro y un producto entregable definido. La transición entre fases no requiere decisiones de mayor complejidad de las que ya se han tomado; requiere la información que la fase anterior debe haber producido.</w:t>
      </w:r>
    </w:p>
    <w:p>
      <w:pPr>
        <w:spacing w:after="120" w:before="260"/>
      </w:pPr>
      <w:r>
        <w:rPr>
          <w:rFonts w:ascii="Calibri" w:cs="Calibri" w:eastAsia="Calibri" w:hAnsi="Calibri"/>
          <w:b/>
          <w:bCs/>
          <w:color w:val="001522"/>
          <w:sz w:val="24"/>
          <w:szCs w:val="24"/>
        </w:rPr>
        <w:t xml:space="preserve">9.1 Fase 1 — Ahora</w:t>
      </w:r>
    </w:p>
    <w:p>
      <w:pPr>
        <w:spacing w:after="140"/>
        <w:jc w:val="both"/>
      </w:pPr>
      <w:r>
        <w:rPr>
          <w:rFonts w:ascii="Calibri" w:cs="Calibri" w:eastAsia="Calibri" w:hAnsi="Calibri"/>
          <w:sz w:val="20"/>
          <w:szCs w:val="20"/>
        </w:rPr>
        <w:t xml:space="preserve">Objetivo: consolidar el portal como punto único de acceso a los reportes de la organización, con foco en construir la base sin comprometer decisiones futuras.</w:t>
      </w:r>
    </w:p>
    <w:p>
      <w:pPr>
        <w:pStyle w:val="ListParagraph"/>
        <w:numPr>
          <w:ilvl w:val="0"/>
          <w:numId w:val="1"/>
        </w:numPr>
        <w:spacing w:after="60"/>
        <w:jc w:val="both"/>
      </w:pPr>
      <w:r>
        <w:rPr>
          <w:rFonts w:ascii="Calibri" w:cs="Calibri" w:eastAsia="Calibri" w:hAnsi="Calibri"/>
          <w:sz w:val="20"/>
          <w:szCs w:val="20"/>
        </w:rPr>
        <w:t xml:space="preserve">Poner en producción el portal con el modelo híbrido acordado.</w:t>
      </w:r>
    </w:p>
    <w:p>
      <w:pPr>
        <w:pStyle w:val="ListParagraph"/>
        <w:numPr>
          <w:ilvl w:val="0"/>
          <w:numId w:val="1"/>
        </w:numPr>
        <w:spacing w:after="60"/>
        <w:jc w:val="both"/>
      </w:pPr>
      <w:r>
        <w:rPr>
          <w:rFonts w:ascii="Calibri" w:cs="Calibri" w:eastAsia="Calibri" w:hAnsi="Calibri"/>
          <w:sz w:val="20"/>
          <w:szCs w:val="20"/>
        </w:rPr>
        <w:t xml:space="preserve">Resolver LOV y prompts dinámicos en la capa de aplicación.</w:t>
      </w:r>
    </w:p>
    <w:p>
      <w:pPr>
        <w:pStyle w:val="ListParagraph"/>
        <w:numPr>
          <w:ilvl w:val="0"/>
          <w:numId w:val="1"/>
        </w:numPr>
        <w:spacing w:after="60"/>
        <w:jc w:val="both"/>
      </w:pPr>
      <w:r>
        <w:rPr>
          <w:rFonts w:ascii="Calibri" w:cs="Calibri" w:eastAsia="Calibri" w:hAnsi="Calibri"/>
          <w:sz w:val="20"/>
          <w:szCs w:val="20"/>
        </w:rPr>
        <w:t xml:space="preserve">Retirar los universos que solo servían para servir LOV, previa validación reporte por reporte.</w:t>
      </w:r>
    </w:p>
    <w:p>
      <w:pPr>
        <w:pStyle w:val="ListParagraph"/>
        <w:numPr>
          <w:ilvl w:val="0"/>
          <w:numId w:val="1"/>
        </w:numPr>
        <w:spacing w:after="60"/>
        <w:jc w:val="both"/>
      </w:pPr>
      <w:r>
        <w:rPr>
          <w:rFonts w:ascii="Calibri" w:cs="Calibri" w:eastAsia="Calibri" w:hAnsi="Calibri"/>
          <w:sz w:val="20"/>
          <w:szCs w:val="20"/>
        </w:rPr>
        <w:t xml:space="preserve">Establecer política de reciclado del proceso web y monitoreo básico de capacidad.</w:t>
      </w:r>
    </w:p>
    <w:p>
      <w:pPr>
        <w:spacing w:after="120" w:before="260"/>
      </w:pPr>
      <w:r>
        <w:rPr>
          <w:rFonts w:ascii="Calibri" w:cs="Calibri" w:eastAsia="Calibri" w:hAnsi="Calibri"/>
          <w:b/>
          <w:bCs/>
          <w:color w:val="001522"/>
          <w:sz w:val="24"/>
          <w:szCs w:val="24"/>
        </w:rPr>
        <w:t xml:space="preserve">9.2 Fase 2 — De 6 a 12 meses</w:t>
      </w:r>
    </w:p>
    <w:p>
      <w:pPr>
        <w:spacing w:after="140"/>
        <w:jc w:val="both"/>
      </w:pPr>
      <w:r>
        <w:rPr>
          <w:rFonts w:ascii="Calibri" w:cs="Calibri" w:eastAsia="Calibri" w:hAnsi="Calibri"/>
          <w:sz w:val="20"/>
          <w:szCs w:val="20"/>
        </w:rPr>
        <w:t xml:space="preserve">Objetivo: obtener evidencia de uso para tomar decisiones con datos y no con supuestos.</w:t>
      </w:r>
    </w:p>
    <w:p>
      <w:pPr>
        <w:pStyle w:val="ListParagraph"/>
        <w:numPr>
          <w:ilvl w:val="0"/>
          <w:numId w:val="1"/>
        </w:numPr>
        <w:spacing w:after="60"/>
        <w:jc w:val="both"/>
      </w:pPr>
      <w:r>
        <w:rPr>
          <w:rFonts w:ascii="Calibri" w:cs="Calibri" w:eastAsia="Calibri" w:hAnsi="Calibri"/>
          <w:sz w:val="20"/>
          <w:szCs w:val="20"/>
        </w:rPr>
        <w:t xml:space="preserve">Activar la capa de auditoría e integrarla al listado de reportes.</w:t>
      </w:r>
    </w:p>
    <w:p>
      <w:pPr>
        <w:pStyle w:val="ListParagraph"/>
        <w:numPr>
          <w:ilvl w:val="0"/>
          <w:numId w:val="1"/>
        </w:numPr>
        <w:spacing w:after="60"/>
        <w:jc w:val="both"/>
      </w:pPr>
      <w:r>
        <w:rPr>
          <w:rFonts w:ascii="Calibri" w:cs="Calibri" w:eastAsia="Calibri" w:hAnsi="Calibri"/>
          <w:sz w:val="20"/>
          <w:szCs w:val="20"/>
        </w:rPr>
        <w:t xml:space="preserve">Identificar reportes críticos por frecuencia de uso, concurrencia y tiempo de ejecución.</w:t>
      </w:r>
    </w:p>
    <w:p>
      <w:pPr>
        <w:pStyle w:val="ListParagraph"/>
        <w:numPr>
          <w:ilvl w:val="0"/>
          <w:numId w:val="1"/>
        </w:numPr>
        <w:spacing w:after="60"/>
        <w:jc w:val="both"/>
      </w:pPr>
      <w:r>
        <w:rPr>
          <w:rFonts w:ascii="Calibri" w:cs="Calibri" w:eastAsia="Calibri" w:hAnsi="Calibri"/>
          <w:sz w:val="20"/>
          <w:szCs w:val="20"/>
        </w:rPr>
        <w:t xml:space="preserve">Reclasificar reportes en zona gris (enlace vs local) con base en datos reales.</w:t>
      </w:r>
    </w:p>
    <w:p>
      <w:pPr>
        <w:pStyle w:val="ListParagraph"/>
        <w:numPr>
          <w:ilvl w:val="0"/>
          <w:numId w:val="1"/>
        </w:numPr>
        <w:spacing w:after="60"/>
        <w:jc w:val="both"/>
      </w:pPr>
      <w:r>
        <w:rPr>
          <w:rFonts w:ascii="Calibri" w:cs="Calibri" w:eastAsia="Calibri" w:hAnsi="Calibri"/>
          <w:sz w:val="20"/>
          <w:szCs w:val="20"/>
        </w:rPr>
        <w:t xml:space="preserve">Establecer indicadores de capacidad y consumo que sirvan de línea base.</w:t>
      </w:r>
    </w:p>
    <w:p>
      <w:pPr>
        <w:spacing w:after="120" w:before="260"/>
      </w:pPr>
      <w:r>
        <w:rPr>
          <w:rFonts w:ascii="Calibri" w:cs="Calibri" w:eastAsia="Calibri" w:hAnsi="Calibri"/>
          <w:b/>
          <w:bCs/>
          <w:color w:val="001522"/>
          <w:sz w:val="24"/>
          <w:szCs w:val="24"/>
        </w:rPr>
        <w:t xml:space="preserve">9.3 Fase 3 — De 2 a 3 años</w:t>
      </w:r>
    </w:p>
    <w:p>
      <w:pPr>
        <w:spacing w:after="140"/>
        <w:jc w:val="both"/>
      </w:pPr>
      <w:r>
        <w:rPr>
          <w:rFonts w:ascii="Calibri" w:cs="Calibri" w:eastAsia="Calibri" w:hAnsi="Calibri"/>
          <w:sz w:val="20"/>
          <w:szCs w:val="20"/>
        </w:rPr>
        <w:t xml:space="preserve">Objetivo: evaluar formalmente la plataforma de destino, cuando haya evidencia suficiente y el horizonte de vida útil del SDK aún permita una transición ordenada.</w:t>
      </w:r>
    </w:p>
    <w:p>
      <w:pPr>
        <w:pStyle w:val="ListParagraph"/>
        <w:numPr>
          <w:ilvl w:val="0"/>
          <w:numId w:val="1"/>
        </w:numPr>
        <w:spacing w:after="60"/>
        <w:jc w:val="both"/>
      </w:pPr>
      <w:r>
        <w:rPr>
          <w:rFonts w:ascii="Calibri" w:cs="Calibri" w:eastAsia="Calibri" w:hAnsi="Calibri"/>
          <w:sz w:val="20"/>
          <w:szCs w:val="20"/>
        </w:rPr>
        <w:t xml:space="preserve">Realizar evaluación formal de las alternativas listadas en la Sección 8.</w:t>
      </w:r>
    </w:p>
    <w:p>
      <w:pPr>
        <w:pStyle w:val="ListParagraph"/>
        <w:numPr>
          <w:ilvl w:val="0"/>
          <w:numId w:val="1"/>
        </w:numPr>
        <w:spacing w:after="60"/>
        <w:jc w:val="both"/>
      </w:pPr>
      <w:r>
        <w:rPr>
          <w:rFonts w:ascii="Calibri" w:cs="Calibri" w:eastAsia="Calibri" w:hAnsi="Calibri"/>
          <w:sz w:val="20"/>
          <w:szCs w:val="20"/>
        </w:rPr>
        <w:t xml:space="preserve">Contrastar cada alternativa con el mapa real de uso obtenido en fase 2.</w:t>
      </w:r>
    </w:p>
    <w:p>
      <w:pPr>
        <w:pStyle w:val="ListParagraph"/>
        <w:numPr>
          <w:ilvl w:val="0"/>
          <w:numId w:val="1"/>
        </w:numPr>
        <w:spacing w:after="60"/>
        <w:jc w:val="both"/>
      </w:pPr>
      <w:r>
        <w:rPr>
          <w:rFonts w:ascii="Calibri" w:cs="Calibri" w:eastAsia="Calibri" w:hAnsi="Calibri"/>
          <w:sz w:val="20"/>
          <w:szCs w:val="20"/>
        </w:rPr>
        <w:t xml:space="preserve">Definir un plan de migración progresivo, no un cambio abrupto.</w:t>
      </w:r>
    </w:p>
    <w:p>
      <w:pPr>
        <w:pStyle w:val="ListParagraph"/>
        <w:numPr>
          <w:ilvl w:val="0"/>
          <w:numId w:val="1"/>
        </w:numPr>
        <w:spacing w:after="60"/>
        <w:jc w:val="both"/>
      </w:pPr>
      <w:r>
        <w:rPr>
          <w:rFonts w:ascii="Calibri" w:cs="Calibri" w:eastAsia="Calibri" w:hAnsi="Calibri"/>
          <w:sz w:val="20"/>
          <w:szCs w:val="20"/>
        </w:rPr>
        <w:t xml:space="preserve">Comunicar oportunamente a la organización el horizonte y la ruta elegida.</w:t>
      </w:r>
    </w:p>
    <w:p>
      <w:pPr>
        <w:pageBreakBefore/>
        <w:pBdr>
          <w:bottom w:val="single" w:color="FF0000" w:sz="12" w:space="2"/>
        </w:pBdr>
        <w:spacing w:after="180" w:before="0"/>
      </w:pPr>
      <w:r>
        <w:rPr>
          <w:rFonts w:ascii="Calibri" w:cs="Calibri" w:eastAsia="Calibri" w:hAnsi="Calibri"/>
          <w:b/>
          <w:bCs/>
          <w:color w:val="001522"/>
          <w:sz w:val="30"/>
          <w:szCs w:val="30"/>
        </w:rPr>
        <w:t xml:space="preserve">10. Principios de diseño que no deben cerrar opciones futuras</w:t>
      </w:r>
    </w:p>
    <w:p>
      <w:pPr>
        <w:spacing w:after="140"/>
        <w:jc w:val="both"/>
      </w:pPr>
      <w:r>
        <w:rPr>
          <w:rFonts w:ascii="Calibri" w:cs="Calibri" w:eastAsia="Calibri" w:hAnsi="Calibri"/>
          <w:sz w:val="20"/>
          <w:szCs w:val="20"/>
        </w:rPr>
        <w:t xml:space="preserve">Independientemente de la plataforma de destino que finalmente se elija, existen principios de diseño que deben mantenerse durante toda la vida del portal para evitar quedar atado a él. Estos principios son la garantía de que la fase 3 sea una evaluación abierta y no una migración forzada por acoplamiento excesivo al motor actual.</w:t>
      </w:r>
    </w:p>
    <w:p>
      <w:pPr>
        <w:spacing w:after="120" w:before="260"/>
      </w:pPr>
      <w:r>
        <w:rPr>
          <w:rFonts w:ascii="Calibri" w:cs="Calibri" w:eastAsia="Calibri" w:hAnsi="Calibri"/>
          <w:b/>
          <w:bCs/>
          <w:color w:val="001522"/>
          <w:sz w:val="24"/>
          <w:szCs w:val="24"/>
        </w:rPr>
        <w:t xml:space="preserve">10.1 Principios acordados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3960"/>
      </w:tblGrid>
      <w:tr>
        <w:trPr>
          <w:tblHeader/>
        </w:trPr>
        <w:tc>
          <w:tcPr>
            <w:tcW w:type="dxa" w:w="24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Principio</w:t>
            </w:r>
          </w:p>
        </w:tc>
        <w:tc>
          <w:tcPr>
            <w:tcW w:type="dxa" w:w="30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Propósito</w:t>
            </w:r>
          </w:p>
        </w:tc>
        <w:tc>
          <w:tcPr>
            <w:tcW w:type="dxa" w:w="39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Aplicación práctica</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Consultas SQL de LOV separadas del código</w:t>
            </w:r>
          </w:p>
        </w:tc>
        <w:tc>
          <w:tcPr>
            <w:tcW w:type="dxa" w:w="3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Que las definiciones de listas de valores sean portables a otro motor sin refactorizar C#</w:t>
            </w:r>
          </w:p>
        </w:tc>
        <w:tc>
          <w:tcPr>
            <w:tcW w:type="dxa" w:w="39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Almacenarlas en archivos JSON o en tablas de base de datos; no incrustarlas como texto literal en el código C#.</w:t>
            </w:r>
          </w:p>
        </w:tc>
      </w:tr>
      <w:tr>
        <w:tc>
          <w:tcPr>
            <w:tcW w:type="dxa" w:w="24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Catálogo de reportes editable sin recompilar</w:t>
            </w:r>
          </w:p>
        </w:tc>
        <w:tc>
          <w:tcPr>
            <w:tcW w:type="dxa" w:w="30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Que agregar, quitar o mover reportes sea una operación de negocio, no de desarrollo</w:t>
            </w:r>
          </w:p>
        </w:tc>
        <w:tc>
          <w:tcPr>
            <w:tcW w:type="dxa" w:w="396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Configuración externa (archivo o base de datos) leída dinámicamente por el portal.</w:t>
            </w:r>
          </w:p>
        </w:tc>
      </w:tr>
      <w:tr>
        <w:tc>
          <w:tcPr>
            <w:tcW w:type="dxa" w:w="24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Metadatos de reportes independientes del motor</w:t>
            </w:r>
          </w:p>
        </w:tc>
        <w:tc>
          <w:tcPr>
            <w:tcW w:type="dxa" w:w="30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Que el nombre, la categoría, la descripción y los permisos del reporte no dependan de dónde se ejecuta</w:t>
            </w:r>
          </w:p>
        </w:tc>
        <w:tc>
          <w:tcPr>
            <w:tcW w:type="dxa" w:w="396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Modelo de metadatos único que sirva tanto para reportes locales como externos, y que pueda apuntar mañana a otra plataforma sin cambios estructurales.</w:t>
            </w:r>
          </w:p>
        </w:tc>
      </w:tr>
    </w:tbl>
    <w:p>
      <w:pPr>
        <w:pBdr>
          <w:top w:val="single" w:color="FFEBEE" w:sz="4" w:space="4"/>
          <w:bottom w:val="single" w:color="FFEBEE" w:sz="4" w:space="4"/>
          <w:left w:val="single" w:color="FF0000" w:sz="24" w:space="12"/>
          <w:right w:val="single" w:color="FFEBEE" w:sz="4" w:space="4"/>
        </w:pBdr>
        <w:shd w:fill="FFEBEE" w:color="auto" w:val="clear"/>
        <w:spacing w:after="200" w:before="120"/>
        <w:jc w:val="both"/>
      </w:pPr>
      <w:r>
        <w:rPr>
          <w:rFonts w:ascii="Calibri" w:cs="Calibri" w:eastAsia="Calibri" w:hAnsi="Calibri"/>
          <w:b/>
          <w:bCs/>
          <w:color w:val="001522"/>
          <w:sz w:val="21"/>
          <w:szCs w:val="21"/>
        </w:rPr>
        <w:t xml:space="preserve">Un principio de diseño solo vale la pena si sobrevive a la primera excepción tentadora. Estos tres deben respetarse incluso cuando exista presión de tiempo para resolver un caso puntual con un atajo.</w:t>
      </w:r>
    </w:p>
    <w:p>
      <w:pPr>
        <w:pageBreakBefore/>
        <w:pBdr>
          <w:bottom w:val="single" w:color="FF0000" w:sz="12" w:space="2"/>
        </w:pBdr>
        <w:spacing w:after="180" w:before="0"/>
      </w:pPr>
      <w:r>
        <w:rPr>
          <w:rFonts w:ascii="Calibri" w:cs="Calibri" w:eastAsia="Calibri" w:hAnsi="Calibri"/>
          <w:b/>
          <w:bCs/>
          <w:color w:val="001522"/>
          <w:sz w:val="30"/>
          <w:szCs w:val="30"/>
        </w:rPr>
        <w:t xml:space="preserve">Próximos pasos</w:t>
      </w:r>
    </w:p>
    <w:p>
      <w:pPr>
        <w:spacing w:after="140"/>
        <w:jc w:val="both"/>
      </w:pPr>
      <w:r>
        <w:rPr>
          <w:rFonts w:ascii="Calibri" w:cs="Calibri" w:eastAsia="Calibri" w:hAnsi="Calibri"/>
          <w:sz w:val="20"/>
          <w:szCs w:val="20"/>
        </w:rPr>
        <w:t xml:space="preserve">Las actividades derivadas de esta nota se resumen a continuación, con responsable sugerido y horizonte temporal. La asignación definitiva se ajustará en la siguiente reunión de coordinación del área.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700"/>
        <w:gridCol w:w="2500"/>
        <w:gridCol w:w="1560"/>
      </w:tblGrid>
      <w:tr>
        <w:trPr>
          <w:tblHeader/>
        </w:trPr>
        <w:tc>
          <w:tcPr>
            <w:tcW w:type="dxa" w:w="6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N.º</w:t>
            </w:r>
          </w:p>
        </w:tc>
        <w:tc>
          <w:tcPr>
            <w:tcW w:type="dxa" w:w="47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Actividad</w:t>
            </w:r>
          </w:p>
        </w:tc>
        <w:tc>
          <w:tcPr>
            <w:tcW w:type="dxa" w:w="250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Responsable sugerido</w:t>
            </w:r>
          </w:p>
        </w:tc>
        <w:tc>
          <w:tcPr>
            <w:tcW w:type="dxa" w:w="1560"/>
            <w:shd w:fill="001522" w:color="auto"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Horizonte</w:t>
            </w:r>
          </w:p>
        </w:tc>
      </w:tr>
      <w:tr>
        <w:tc>
          <w:tcPr>
            <w:tcW w:type="dxa" w:w="6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w:t>
            </w:r>
          </w:p>
        </w:tc>
        <w:tc>
          <w:tcPr>
            <w:tcW w:type="dxa" w:w="47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Formalizar los criterios de clasificación por reporte (Sección 1.2) como documento operativo del área</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w:t>
            </w:r>
          </w:p>
        </w:tc>
        <w:tc>
          <w:tcPr>
            <w:tcW w:type="dxa" w:w="156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 mes</w:t>
            </w:r>
          </w:p>
        </w:tc>
      </w:tr>
      <w:tr>
        <w:tc>
          <w:tcPr>
            <w:tcW w:type="dxa" w:w="6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2</w:t>
            </w:r>
          </w:p>
        </w:tc>
        <w:tc>
          <w:tcPr>
            <w:tcW w:type="dxa" w:w="47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Definir política de reciclado del proceso web y umbrales de capacidad para el modelo local</w:t>
            </w:r>
          </w:p>
        </w:tc>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 con apoyo de Tecnología</w:t>
            </w:r>
          </w:p>
        </w:tc>
        <w:tc>
          <w:tcPr>
            <w:tcW w:type="dxa" w:w="156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 a 2 meses</w:t>
            </w:r>
          </w:p>
        </w:tc>
      </w:tr>
      <w:tr>
        <w:tc>
          <w:tcPr>
            <w:tcW w:type="dxa" w:w="6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3</w:t>
            </w:r>
          </w:p>
        </w:tc>
        <w:tc>
          <w:tcPr>
            <w:tcW w:type="dxa" w:w="47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Diseñar e implementar la capa de auditoría del portal</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w:t>
            </w:r>
          </w:p>
        </w:tc>
        <w:tc>
          <w:tcPr>
            <w:tcW w:type="dxa" w:w="156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 a 3 meses</w:t>
            </w:r>
          </w:p>
        </w:tc>
      </w:tr>
      <w:tr>
        <w:tc>
          <w:tcPr>
            <w:tcW w:type="dxa" w:w="6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4</w:t>
            </w:r>
          </w:p>
        </w:tc>
        <w:tc>
          <w:tcPr>
            <w:tcW w:type="dxa" w:w="47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Inventariar universos y su uso real por reporte, con foco en seguridad por filas</w:t>
            </w:r>
          </w:p>
        </w:tc>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w:t>
            </w:r>
          </w:p>
        </w:tc>
        <w:tc>
          <w:tcPr>
            <w:tcW w:type="dxa" w:w="156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2 a 4 meses</w:t>
            </w:r>
          </w:p>
        </w:tc>
      </w:tr>
      <w:tr>
        <w:tc>
          <w:tcPr>
            <w:tcW w:type="dxa" w:w="6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5</w:t>
            </w:r>
          </w:p>
        </w:tc>
        <w:tc>
          <w:tcPr>
            <w:tcW w:type="dxa" w:w="47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Validar términos de licenciamiento del runtime de Crystal Reports para producción</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Tecnología con proveedor</w:t>
            </w:r>
          </w:p>
        </w:tc>
        <w:tc>
          <w:tcPr>
            <w:tcW w:type="dxa" w:w="156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1 a 3 meses</w:t>
            </w:r>
          </w:p>
        </w:tc>
      </w:tr>
      <w:tr>
        <w:tc>
          <w:tcPr>
            <w:tcW w:type="dxa" w:w="60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6</w:t>
            </w:r>
          </w:p>
        </w:tc>
        <w:tc>
          <w:tcPr>
            <w:tcW w:type="dxa" w:w="4700"/>
            <w:shd w:fill="F5F5F5" w:color="auto" w:val="clear"/>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Establecer indicadores de uso a partir de la auditoría y publicarlos periódicamente</w:t>
            </w:r>
          </w:p>
        </w:tc>
        <w:tc>
          <w:tcPr>
            <w:tcW w:type="dxa" w:w="2500"/>
            <w:shd w:fill="F5F5F5" w:color="auto" w:val="clear"/>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w:t>
            </w:r>
          </w:p>
        </w:tc>
        <w:tc>
          <w:tcPr>
            <w:tcW w:type="dxa" w:w="1560"/>
            <w:shd w:fill="F5F5F5" w:color="auto" w:val="clear"/>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6 a 12 meses</w:t>
            </w:r>
          </w:p>
        </w:tc>
      </w:tr>
      <w:tr>
        <w:tc>
          <w:tcPr>
            <w:tcW w:type="dxa" w:w="60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7</w:t>
            </w:r>
          </w:p>
        </w:tc>
        <w:tc>
          <w:tcPr>
            <w:tcW w:type="dxa" w:w="4700"/>
            <w:tcMar>
              <w:top w:type="dxa" w:w="70"/>
              <w:left w:type="dxa" w:w="120"/>
              <w:bottom w:type="dxa" w:w="70"/>
              <w:right w:type="dxa" w:w="120"/>
            </w:tcMar>
          </w:tcPr>
          <w:p>
            <w:pPr>
              <w:spacing w:after="0" w:before="0"/>
              <w:jc w:val="left"/>
            </w:pPr>
            <w:r>
              <w:rPr>
                <w:rFonts w:ascii="Calibri" w:cs="Calibri" w:eastAsia="Calibri" w:hAnsi="Calibri"/>
                <w:b/>
                <w:bCs/>
                <w:color w:val="333333"/>
                <w:sz w:val="18"/>
                <w:szCs w:val="18"/>
              </w:rPr>
              <w:t xml:space="preserve">Iniciar evaluación formal de alternativas de plataforma (fase 3)</w:t>
            </w:r>
          </w:p>
        </w:tc>
        <w:tc>
          <w:tcPr>
            <w:tcW w:type="dxa" w:w="2500"/>
            <w:tcMar>
              <w:top w:type="dxa" w:w="70"/>
              <w:left w:type="dxa" w:w="120"/>
              <w:bottom w:type="dxa" w:w="70"/>
              <w:right w:type="dxa" w:w="120"/>
            </w:tcMar>
          </w:tcPr>
          <w:p>
            <w:pPr>
              <w:spacing w:after="0" w:before="0"/>
              <w:jc w:val="left"/>
            </w:pPr>
            <w:r>
              <w:rPr>
                <w:rFonts w:ascii="Calibri" w:cs="Calibri" w:eastAsia="Calibri" w:hAnsi="Calibri"/>
                <w:b w:val="false"/>
                <w:bCs w:val="false"/>
                <w:color w:val="333333"/>
                <w:sz w:val="18"/>
                <w:szCs w:val="18"/>
              </w:rPr>
              <w:t xml:space="preserve">BI / DWH con dirección de Tecnología</w:t>
            </w:r>
          </w:p>
        </w:tc>
        <w:tc>
          <w:tcPr>
            <w:tcW w:type="dxa" w:w="1560"/>
            <w:tcMar>
              <w:top w:type="dxa" w:w="70"/>
              <w:left w:type="dxa" w:w="120"/>
              <w:bottom w:type="dxa" w:w="70"/>
              <w:right w:type="dxa" w:w="120"/>
            </w:tcMar>
          </w:tcPr>
          <w:p>
            <w:pPr>
              <w:spacing w:after="0" w:before="0"/>
              <w:jc w:val="center"/>
            </w:pPr>
            <w:r>
              <w:rPr>
                <w:rFonts w:ascii="Calibri" w:cs="Calibri" w:eastAsia="Calibri" w:hAnsi="Calibri"/>
                <w:b w:val="false"/>
                <w:bCs w:val="false"/>
                <w:color w:val="333333"/>
                <w:sz w:val="18"/>
                <w:szCs w:val="18"/>
              </w:rPr>
              <w:t xml:space="preserve">24 a 36 meses</w:t>
            </w:r>
          </w:p>
        </w:tc>
      </w:tr>
    </w:tbl>
    <w:p>
      <w:pPr>
        <w:spacing w:before="600"/>
      </w:pPr>
    </w:p>
    <w:p>
      <w:pPr>
        <w:jc w:val="center"/>
      </w:pPr>
      <w:r>
        <w:rPr>
          <w:rFonts w:ascii="Calibri" w:cs="Calibri" w:eastAsia="Calibri" w:hAnsi="Calibri"/>
          <w:color w:val="FF0000"/>
          <w:sz w:val="22"/>
          <w:szCs w:val="22"/>
        </w:rPr>
        <w:t xml:space="preserve">──────────</w:t>
      </w:r>
    </w:p>
    <w:p>
      <w:pPr>
        <w:spacing w:before="200"/>
        <w:jc w:val="center"/>
      </w:pPr>
      <w:r>
        <w:rPr>
          <w:rFonts w:ascii="Calibri" w:cs="Calibri" w:eastAsia="Calibri" w:hAnsi="Calibri"/>
          <w:i/>
          <w:iCs/>
          <w:color w:val="666666"/>
          <w:sz w:val="18"/>
          <w:szCs w:val="18"/>
        </w:rPr>
        <w:t xml:space="preserve">Documento de registro interno — Uso reservado del área de BI / DWH</w:t>
      </w:r>
    </w:p>
    <w:p>
      <w:pPr>
        <w:jc w:val="center"/>
      </w:pPr>
      <w:r>
        <w:rPr>
          <w:rFonts w:ascii="Calibri" w:cs="Calibri" w:eastAsia="Calibri" w:hAnsi="Calibri"/>
          <w:i/>
          <w:iCs/>
          <w:color w:val="666666"/>
          <w:sz w:val="18"/>
          <w:szCs w:val="18"/>
        </w:rPr>
        <w:t xml:space="preserve">Super Repuestos El Salvador  —  Agosto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00"/>
    </w:pPr>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 Arquitectura y Estrategia - Portal de Reportes Crystal</dc:title>
  <dc:creator>Jonathan Flores</dc:creator>
  <dc:description>Nota interna de decisiones arquitectónicas y estratégicas del Portal de Reportes Crystal</dc:description>
  <cp:lastModifiedBy>Un-named</cp:lastModifiedBy>
  <cp:revision>1</cp:revision>
  <dcterms:created xsi:type="dcterms:W3CDTF">2026-08-17T20:45:01.765Z</dcterms:created>
  <dcterms:modified xsi:type="dcterms:W3CDTF">2026-08-17T20:45:01.767Z</dcterms:modified>
</cp:coreProperties>
</file>

<file path=docProps/custom.xml><?xml version="1.0" encoding="utf-8"?>
<Properties xmlns="http://schemas.openxmlformats.org/officeDocument/2006/custom-properties" xmlns:vt="http://schemas.openxmlformats.org/officeDocument/2006/docPropsVTypes"/>
</file>