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A6B"/>
          <w:sz w:val="40"/>
        </w:rPr>
        <w:t>AutoFinance Hub — Business Proposal</w:t>
      </w:r>
    </w:p>
    <w:p>
      <w:pPr>
        <w:spacing w:after="40"/>
      </w:pPr>
      <w:r>
        <w:rPr>
          <w:b/>
          <w:sz w:val="22"/>
        </w:rPr>
        <w:t xml:space="preserve">Prepared by: </w:t>
      </w:r>
      <w:r>
        <w:rPr>
          <w:sz w:val="22"/>
        </w:rPr>
        <w:t>Frank Joram</w:t>
      </w:r>
    </w:p>
    <w:p>
      <w:pPr>
        <w:spacing w:after="40"/>
      </w:pPr>
      <w:r>
        <w:rPr>
          <w:b/>
          <w:sz w:val="22"/>
        </w:rPr>
        <w:t xml:space="preserve">Date: </w:t>
      </w:r>
      <w:r>
        <w:rPr>
          <w:sz w:val="22"/>
        </w:rPr>
        <w:t>May 13, 2026</w:t>
      </w:r>
    </w:p>
    <w:p>
      <w:pPr>
        <w:spacing w:after="40"/>
      </w:pPr>
      <w:r>
        <w:rPr>
          <w:b/>
          <w:sz w:val="22"/>
        </w:rPr>
        <w:t xml:space="preserve">Submitted to: </w:t>
      </w:r>
      <w:r>
        <w:rPr>
          <w:sz w:val="22"/>
        </w:rPr>
        <w:t>I&amp;M Bank Tanzania</w:t>
      </w:r>
    </w:p>
    <w:p/>
    <w:p>
      <w:pPr>
        <w:pStyle w:val="Heading1"/>
      </w:pPr>
      <w:r>
        <w:rPr>
          <w:color w:val="1A3A6B"/>
          <w:sz w:val="28"/>
        </w:rPr>
        <w:t>1. Executive Summary</w:t>
      </w:r>
    </w:p>
    <w:p>
      <w:r>
        <w:rPr>
          <w:sz w:val="22"/>
        </w:rPr>
        <w:t>AutoFinance Hub is a digital car financing platform built exclusively for a single banking partner. The bank is the sole financing institution on the platform — all loan applications generated go directly to the bank. The platform connects car buyers and verified dealers on one seamless digital experience where a buyer can browse cars, apply for the bank's car loan, select insurance, and complete the full application in under 10 minutes — without visiting a branch.</w:t>
      </w:r>
    </w:p>
    <w:p>
      <w:r>
        <w:rPr>
          <w:sz w:val="22"/>
        </w:rPr>
        <w:t>The platform is already built and deployed. This proposal presents the partnership case, market opportunity, and the mutual value this creates for the bank and for car buyers in Tanzania.</w:t>
      </w:r>
    </w:p>
    <w:p/>
    <w:p>
      <w:pPr>
        <w:pStyle w:val="Heading1"/>
      </w:pPr>
      <w:r>
        <w:rPr>
          <w:color w:val="1A3A6B"/>
          <w:sz w:val="28"/>
        </w:rPr>
        <w:t>2. Problem Statement</w:t>
      </w:r>
    </w:p>
    <w:p>
      <w:r>
        <w:rPr>
          <w:sz w:val="22"/>
        </w:rPr>
        <w:t>Car financing in Tanzania today is slow and branch-dependent:</w:t>
      </w:r>
    </w:p>
    <w:p>
      <w:pPr>
        <w:pStyle w:val="ListBullet"/>
      </w:pPr>
      <w:r>
        <w:rPr>
          <w:sz w:val="22"/>
        </w:rPr>
        <w:t>Buyers must visit a branch to learn about loan terms and eligibility</w:t>
      </w:r>
    </w:p>
    <w:p>
      <w:pPr>
        <w:pStyle w:val="ListBullet"/>
      </w:pPr>
      <w:r>
        <w:rPr>
          <w:sz w:val="22"/>
        </w:rPr>
        <w:t>Dealers have no digital channel to refer customers directly to the bank's loan products</w:t>
      </w:r>
    </w:p>
    <w:p>
      <w:pPr>
        <w:pStyle w:val="ListBullet"/>
      </w:pPr>
      <w:r>
        <w:rPr>
          <w:sz w:val="22"/>
        </w:rPr>
        <w:t>Loan applications are paper-heavy and take days to initiate</w:t>
      </w:r>
    </w:p>
    <w:p>
      <w:pPr>
        <w:pStyle w:val="ListBullet"/>
      </w:pPr>
      <w:r>
        <w:rPr>
          <w:sz w:val="22"/>
        </w:rPr>
        <w:t>The bank misses out on creditworthy buyers who drop off due to friction in the process</w:t>
      </w:r>
    </w:p>
    <w:p>
      <w:pPr>
        <w:spacing w:after="40"/>
      </w:pPr>
      <w:r>
        <w:rPr>
          <w:b/>
          <w:sz w:val="22"/>
        </w:rPr>
        <w:t xml:space="preserve">Result: </w:t>
      </w:r>
      <w:r>
        <w:rPr>
          <w:sz w:val="22"/>
        </w:rPr>
        <w:t>Many qualifying car purchases never turn into loan applications — not because buyers lack creditworthiness, but because the process is too cumbersome.</w:t>
      </w:r>
    </w:p>
    <w:p/>
    <w:p>
      <w:pPr>
        <w:pStyle w:val="Heading1"/>
      </w:pPr>
      <w:r>
        <w:rPr>
          <w:color w:val="1A3A6B"/>
          <w:sz w:val="28"/>
        </w:rPr>
        <w:t>3. Solution — What AutoFinance Hub Does</w:t>
      </w:r>
    </w:p>
    <w:p>
      <w:r>
        <w:rPr>
          <w:sz w:val="22"/>
        </w:rPr>
        <w:t>AutoFinance Hub acts as the bank's dedicated digital car financing front-end: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the Platform Does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Buyer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Browse verified cars, view the bank's loan terms and monthly payment estimates, and submit a loan application online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Seller / Dealer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List car inventory, track buyer inquiries, and refer customers directly into the bank's financing flow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Receive structured, pre-filled loan applications digitally from real buyers with a specific car already selected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Manage all users, monitor applications, track disbursements, and control platform settings from a central dashboard</w:t>
            </w:r>
          </w:p>
        </w:tc>
      </w:tr>
    </w:tbl>
    <w:p/>
    <w:p>
      <w:pPr>
        <w:spacing w:after="40"/>
      </w:pPr>
      <w:r>
        <w:rPr>
          <w:b/>
          <w:sz w:val="22"/>
        </w:rPr>
        <w:t xml:space="preserve">Key platform features (already built): 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Public car browsing with filters (make, model, price, location, body type, condition, transmission)</w:t>
      </w:r>
    </w:p>
    <w:p>
      <w:pPr>
        <w:pStyle w:val="ListBullet"/>
      </w:pPr>
      <w:r>
        <w:rPr>
          <w:sz w:val="22"/>
        </w:rPr>
        <w:t>Monthly payment estimator showing the bank's loan terms on every car listing</w:t>
      </w:r>
    </w:p>
    <w:p>
      <w:pPr>
        <w:pStyle w:val="ListBullet"/>
      </w:pPr>
      <w:r>
        <w:rPr>
          <w:sz w:val="22"/>
        </w:rPr>
        <w:t>Single-click loan application — buyer selects car, sees repayment schedule, and applies</w:t>
      </w:r>
    </w:p>
    <w:p>
      <w:pPr>
        <w:pStyle w:val="ListBullet"/>
      </w:pPr>
      <w:r>
        <w:rPr>
          <w:sz w:val="22"/>
        </w:rPr>
        <w:t>Insurance selection (AAR, Jubilee, Heritage) bundled into the application</w:t>
      </w:r>
    </w:p>
    <w:p>
      <w:pPr>
        <w:pStyle w:val="ListBullet"/>
      </w:pPr>
      <w:r>
        <w:rPr>
          <w:sz w:val="22"/>
        </w:rPr>
        <w:t>Dedicated dashboards: Buyer portal, Seller/Dealer portal, Bank portal, Admin panel</w:t>
      </w:r>
    </w:p>
    <w:p>
      <w:pPr>
        <w:pStyle w:val="ListBullet"/>
      </w:pPr>
      <w:r>
        <w:rPr>
          <w:sz w:val="22"/>
        </w:rPr>
        <w:t>Bank portal shows all applications, statuses, and disbursement records in real time</w:t>
      </w:r>
    </w:p>
    <w:p>
      <w:pPr>
        <w:pStyle w:val="ListBullet"/>
      </w:pPr>
      <w:r>
        <w:rPr>
          <w:sz w:val="22"/>
        </w:rPr>
        <w:t>Supabase (PostgreSQL) backend — secure, scalable, real-time</w:t>
      </w:r>
    </w:p>
    <w:p>
      <w:pPr>
        <w:pStyle w:val="ListBullet"/>
      </w:pPr>
      <w:r>
        <w:rPr>
          <w:sz w:val="22"/>
        </w:rPr>
        <w:t>Deployed on Vercel — fully live, accessible from any device</w:t>
      </w:r>
    </w:p>
    <w:p/>
    <w:p>
      <w:pPr>
        <w:pStyle w:val="Heading1"/>
      </w:pPr>
      <w:r>
        <w:rPr>
          <w:color w:val="1A3A6B"/>
          <w:sz w:val="28"/>
        </w:rPr>
        <w:t>4. Value to the Bank</w:t>
      </w:r>
    </w:p>
    <w:p>
      <w:r>
        <w:rPr>
          <w:sz w:val="22"/>
        </w:rPr>
        <w:t>This is not a lead generation tool — it is a full application pipeline delivered to the bank: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More applications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Buyers who would never walk into a branch can apply from their phone at midnight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Better-qualified leads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Each application includes the specific car, price, seller, and buyer details — pre-structured for credit assessment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Dealer network as a sales force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Every dealer on the platform is effectively referring customers to the bank's loan product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Brand visibility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The bank's logo, rates, and loan products are the only ones buyers see — no competitor banks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Full visibility into buyer demand, application volumes, car segments, and regional interest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Digital transformation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Positions the bank as a modern, customer-centric institution in a segment that is moving online</w:t>
            </w:r>
          </w:p>
        </w:tc>
      </w:tr>
    </w:tbl>
    <w:p/>
    <w:p/>
    <w:p>
      <w:pPr>
        <w:pStyle w:val="Heading1"/>
      </w:pPr>
      <w:r>
        <w:rPr>
          <w:color w:val="1A3A6B"/>
          <w:sz w:val="28"/>
        </w:rPr>
        <w:t>5. Market Opportunity</w:t>
      </w:r>
    </w:p>
    <w:p>
      <w:pPr>
        <w:pStyle w:val="Heading2"/>
      </w:pPr>
      <w:r>
        <w:rPr>
          <w:color w:val="1A3A6B"/>
          <w:sz w:val="24"/>
        </w:rPr>
        <w:t>Tanzania Automotive Market</w:t>
      </w:r>
    </w:p>
    <w:p>
      <w:pPr>
        <w:pStyle w:val="ListBullet"/>
      </w:pPr>
      <w:r>
        <w:rPr>
          <w:sz w:val="22"/>
        </w:rPr>
        <w:t xml:space="preserve">Tanzania registers approximately </w:t>
      </w:r>
      <w:r>
        <w:rPr>
          <w:b/>
          <w:sz w:val="22"/>
        </w:rPr>
        <w:t>50,000–70,000 vehicles per year</w:t>
      </w:r>
      <w:r>
        <w:rPr>
          <w:sz w:val="22"/>
        </w:rPr>
        <w:t xml:space="preserve"> (used and new combined)</w:t>
      </w:r>
    </w:p>
    <w:p>
      <w:pPr>
        <w:pStyle w:val="ListBullet"/>
      </w:pPr>
      <w:r>
        <w:rPr>
          <w:sz w:val="22"/>
        </w:rPr>
        <w:t xml:space="preserve">Over </w:t>
      </w:r>
      <w:r>
        <w:rPr>
          <w:b/>
          <w:sz w:val="22"/>
        </w:rPr>
        <w:t>70% of car purchases</w:t>
      </w:r>
      <w:r>
        <w:rPr>
          <w:sz w:val="22"/>
        </w:rPr>
        <w:t xml:space="preserve"> in sub-Saharan Africa involve some form of financing or installment</w:t>
      </w:r>
    </w:p>
    <w:p>
      <w:pPr>
        <w:pStyle w:val="ListBullet"/>
      </w:pPr>
      <w:r>
        <w:rPr>
          <w:sz w:val="22"/>
        </w:rPr>
        <w:t>Digital adoption is growing rapidly — Tanzania had ~60 million mobile subscribers in 2025</w:t>
      </w:r>
    </w:p>
    <w:p>
      <w:pPr>
        <w:pStyle w:val="ListBullet"/>
      </w:pPr>
      <w:r>
        <w:rPr>
          <w:sz w:val="22"/>
        </w:rPr>
        <w:t>Fewer than 5 dedicated digital car financing platforms exist in Tanzania today</w:t>
      </w:r>
    </w:p>
    <w:p>
      <w:pPr>
        <w:pStyle w:val="Heading2"/>
      </w:pPr>
      <w:r>
        <w:rPr>
          <w:color w:val="1A3A6B"/>
          <w:sz w:val="24"/>
        </w:rPr>
        <w:t>Loan Volume Potential for the Bank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Applications/Year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Avg Loan (TZS)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Total Loan Book Added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Conservative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300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18,000,000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5.4 billion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Moderate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900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22,000,000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19.8 billion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Optimistic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3,000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25,000,000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75 billion</w:t>
            </w:r>
          </w:p>
        </w:tc>
      </w:tr>
    </w:tbl>
    <w:p/>
    <w:p>
      <w:r>
        <w:rPr>
          <w:sz w:val="22"/>
        </w:rPr>
        <w:t xml:space="preserve">These represent </w:t>
      </w:r>
      <w:r>
        <w:rPr>
          <w:b/>
          <w:sz w:val="22"/>
        </w:rPr>
        <w:t>net new loan book growth</w:t>
      </w:r>
      <w:r>
        <w:rPr>
          <w:sz w:val="22"/>
        </w:rPr>
        <w:t xml:space="preserve"> — customers the bank would not have reached through branch walk-ins alone.</w:t>
      </w:r>
    </w:p>
    <w:p/>
    <w:p>
      <w:pPr>
        <w:pStyle w:val="Heading1"/>
      </w:pPr>
      <w:r>
        <w:rPr>
          <w:color w:val="1A3A6B"/>
          <w:sz w:val="28"/>
        </w:rPr>
        <w:t>6. Revenue Model</w:t>
      </w:r>
    </w:p>
    <w:p>
      <w:r>
        <w:rPr>
          <w:sz w:val="22"/>
        </w:rPr>
        <w:t>The platform is self-sustaining through seller and listing fees, keeping the bank's cost of participation low:</w:t>
      </w:r>
    </w:p>
    <w:p>
      <w:pPr>
        <w:pStyle w:val="Heading2"/>
      </w:pPr>
      <w:r>
        <w:rPr>
          <w:color w:val="1A3A6B"/>
          <w:sz w:val="24"/>
        </w:rPr>
        <w:t>6.1 Platform Transaction Fee (paid by AutoFinance / shared with bank)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0.5% fee</w:t>
      </w:r>
      <w:r>
        <w:rPr>
          <w:sz w:val="22"/>
        </w:rPr>
        <w:t xml:space="preserve"> on each disbursed loan amount</w:t>
      </w:r>
    </w:p>
    <w:p>
      <w:pPr>
        <w:pStyle w:val="ListBullet"/>
      </w:pPr>
      <w:r>
        <w:rPr>
          <w:sz w:val="22"/>
        </w:rPr>
        <w:t>This can be structured as a referral commission the bank pays to the platform per successful disbursement</w:t>
      </w:r>
    </w:p>
    <w:p>
      <w:pPr>
        <w:pStyle w:val="ListBullet"/>
      </w:pPr>
      <w:r>
        <w:rPr>
          <w:sz w:val="22"/>
        </w:rPr>
        <w:t>Example: TZS 20,000,000 loan → TZS 100,000 per transaction</w:t>
      </w:r>
    </w:p>
    <w:p>
      <w:pPr>
        <w:pStyle w:val="Heading2"/>
      </w:pPr>
      <w:r>
        <w:rPr>
          <w:color w:val="1A3A6B"/>
          <w:sz w:val="24"/>
        </w:rPr>
        <w:t>6.2 Seller Listing Fees (platform revenue)</w:t>
      </w:r>
    </w:p>
    <w:p>
      <w:pPr>
        <w:pStyle w:val="ListBullet"/>
      </w:pPr>
      <w:r>
        <w:rPr>
          <w:sz w:val="22"/>
        </w:rPr>
        <w:t>Free tier: limited listings</w:t>
      </w:r>
    </w:p>
    <w:p>
      <w:pPr>
        <w:pStyle w:val="ListBullet"/>
      </w:pPr>
      <w:r>
        <w:rPr>
          <w:sz w:val="22"/>
        </w:rPr>
        <w:t>Premium dealer subscription: TZS 50,000–200,000/month for unlimited listings and analytics</w:t>
      </w:r>
    </w:p>
    <w:p>
      <w:pPr>
        <w:pStyle w:val="Heading2"/>
      </w:pPr>
      <w:r>
        <w:rPr>
          <w:color w:val="1A3A6B"/>
          <w:sz w:val="24"/>
        </w:rPr>
        <w:t>6.3 Featured/Promoted Listings (platform revenue)</w:t>
      </w:r>
    </w:p>
    <w:p>
      <w:pPr>
        <w:pStyle w:val="ListBullet"/>
      </w:pPr>
      <w:r>
        <w:rPr>
          <w:sz w:val="22"/>
        </w:rPr>
        <w:t>Dealers pay for top placement in search results</w:t>
      </w:r>
    </w:p>
    <w:p>
      <w:pPr>
        <w:pStyle w:val="ListBullet"/>
      </w:pPr>
      <w:r>
        <w:rPr>
          <w:sz w:val="22"/>
        </w:rPr>
        <w:t>TZS 15,000–30,000 per featured slot per week</w:t>
      </w:r>
    </w:p>
    <w:p>
      <w:pPr>
        <w:pStyle w:val="Heading2"/>
      </w:pPr>
      <w:r>
        <w:rPr>
          <w:color w:val="1A3A6B"/>
          <w:sz w:val="24"/>
        </w:rPr>
        <w:t>6.4 Insurance Commission (platform revenue)</w:t>
      </w:r>
    </w:p>
    <w:p>
      <w:pPr>
        <w:pStyle w:val="ListBullet"/>
      </w:pPr>
      <w:r>
        <w:rPr>
          <w:sz w:val="22"/>
        </w:rPr>
        <w:t>Commission from insurance partners when a policy is purchased through the platform</w:t>
      </w:r>
    </w:p>
    <w:p>
      <w:pPr>
        <w:pStyle w:val="ListBullet"/>
      </w:pPr>
      <w:r>
        <w:rPr>
          <w:sz w:val="22"/>
        </w:rPr>
        <w:t>Typical: 5–10% of premium value</w:t>
      </w:r>
    </w:p>
    <w:p>
      <w:r>
        <w:rPr>
          <w:sz w:val="22"/>
        </w:rPr>
        <w:t xml:space="preserve">The bank's only cost is the per-disbursement referral fee — </w:t>
      </w:r>
      <w:r>
        <w:rPr>
          <w:b/>
          <w:sz w:val="22"/>
        </w:rPr>
        <w:t>paid only when a loan is successfully issued.</w:t>
      </w:r>
      <w:r>
        <w:rPr>
          <w:sz w:val="22"/>
        </w:rPr>
      </w:r>
    </w:p>
    <w:p/>
    <w:p>
      <w:pPr>
        <w:pStyle w:val="Heading1"/>
      </w:pPr>
      <w:r>
        <w:rPr>
          <w:color w:val="1A3A6B"/>
          <w:sz w:val="28"/>
        </w:rPr>
        <w:t>7. Revenue Projections (3-Year Estimate)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Cars listed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500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2,500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Loan applications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300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1,500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5,000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Loans disbursed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150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900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3,500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Avg loan value (TZS)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18,000,000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22,000,000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25,000,000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Transaction fee revenue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13.5M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99M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437.5M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Listing/subscription revenue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5M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40M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120M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Insurance commissions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15M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50M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Total Platform Revenue (TZS)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~20M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~154M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~607M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Bank loan book added (TZS)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2.7B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19.8B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87.5B</w:t>
            </w:r>
          </w:p>
        </w:tc>
      </w:tr>
    </w:tbl>
    <w:p/>
    <w:p>
      <w:r>
        <w:rPr>
          <w:i/>
          <w:color w:val="6C757D"/>
          <w:sz w:val="20"/>
        </w:rPr>
        <w:t>Projections are estimates based on conservative market penetration assumptions.</w:t>
      </w:r>
    </w:p>
    <w:p/>
    <w:p>
      <w:pPr>
        <w:pStyle w:val="Heading1"/>
      </w:pPr>
      <w:r>
        <w:rPr>
          <w:color w:val="1A3A6B"/>
          <w:sz w:val="28"/>
        </w:rPr>
        <w:t>8. Competitive Advantage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AutoFinance Hub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Branch Walk-in</w:t>
            </w:r>
          </w:p>
        </w:tc>
        <w:tc>
          <w:tcPr>
            <w:tcW w:type="dxa" w:w="228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Other Platforms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Available 24/7 from any device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Some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Exclusive bank product placement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N/A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Insurance bundled in same flow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Real-time loan calculator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Some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Verified seller/dealer network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Some</w:t>
            </w:r>
          </w:p>
        </w:tc>
      </w:tr>
      <w:tr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Full application pipeline to bank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Already built &amp; deployed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N/A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0"/>
              </w:rPr>
              <w:t>N/A</w:t>
            </w:r>
          </w:p>
        </w:tc>
      </w:tr>
    </w:tbl>
    <w:p/>
    <w:p>
      <w:r>
        <w:rPr>
          <w:sz w:val="22"/>
        </w:rPr>
        <w:t xml:space="preserve">The platform's biggest advantage is that it is </w:t>
      </w:r>
      <w:r>
        <w:rPr>
          <w:b/>
          <w:sz w:val="22"/>
        </w:rPr>
        <w:t>already operational</w:t>
      </w:r>
      <w:r>
        <w:rPr>
          <w:sz w:val="22"/>
        </w:rPr>
        <w:t xml:space="preserve"> — there is no development risk for the bank, only partnership execution.</w:t>
      </w:r>
    </w:p>
    <w:p/>
    <w:p>
      <w:pPr>
        <w:pStyle w:val="Heading1"/>
      </w:pPr>
      <w:r>
        <w:rPr>
          <w:color w:val="1A3A6B"/>
          <w:sz w:val="28"/>
        </w:rPr>
        <w:t>9. Target Users</w:t>
      </w:r>
    </w:p>
    <w:p>
      <w:pPr>
        <w:pStyle w:val="Heading2"/>
      </w:pPr>
      <w:r>
        <w:rPr>
          <w:color w:val="1A3A6B"/>
          <w:sz w:val="24"/>
        </w:rPr>
        <w:t>Buyers</w:t>
      </w:r>
    </w:p>
    <w:p>
      <w:pPr>
        <w:pStyle w:val="ListBullet"/>
      </w:pPr>
      <w:r>
        <w:rPr>
          <w:sz w:val="22"/>
        </w:rPr>
        <w:t>Employed professionals aged 25–45 in Dar es Salaam, Arusha, Mwanza</w:t>
      </w:r>
    </w:p>
    <w:p>
      <w:pPr>
        <w:pStyle w:val="ListBullet"/>
      </w:pPr>
      <w:r>
        <w:rPr>
          <w:sz w:val="22"/>
        </w:rPr>
        <w:t>First-time car buyers seeking a straightforward financing path</w:t>
      </w:r>
    </w:p>
    <w:p>
      <w:pPr>
        <w:pStyle w:val="ListBullet"/>
      </w:pPr>
      <w:r>
        <w:rPr>
          <w:sz w:val="22"/>
        </w:rPr>
        <w:t>Diaspora buyers purchasing vehicles for family members in Tanzania</w:t>
      </w:r>
    </w:p>
    <w:p>
      <w:pPr>
        <w:pStyle w:val="Heading2"/>
      </w:pPr>
      <w:r>
        <w:rPr>
          <w:color w:val="1A3A6B"/>
          <w:sz w:val="24"/>
        </w:rPr>
        <w:t>Sellers / Dealers</w:t>
      </w:r>
    </w:p>
    <w:p>
      <w:pPr>
        <w:pStyle w:val="ListBullet"/>
      </w:pPr>
      <w:r>
        <w:rPr>
          <w:sz w:val="22"/>
        </w:rPr>
        <w:t>Independent used car dealers (5–50 car inventory)</w:t>
      </w:r>
    </w:p>
    <w:p>
      <w:pPr>
        <w:pStyle w:val="ListBullet"/>
      </w:pPr>
      <w:r>
        <w:rPr>
          <w:sz w:val="22"/>
        </w:rPr>
        <w:t>Franchised dealerships (Toyota, Suzuki, Nissan Tanzania)</w:t>
      </w:r>
    </w:p>
    <w:p>
      <w:pPr>
        <w:pStyle w:val="ListBullet"/>
      </w:pPr>
      <w:r>
        <w:rPr>
          <w:sz w:val="22"/>
        </w:rPr>
        <w:t>Private sellers with 1–3 cars</w:t>
      </w:r>
    </w:p>
    <w:p/>
    <w:p>
      <w:pPr>
        <w:pStyle w:val="Heading1"/>
      </w:pPr>
      <w:r>
        <w:rPr>
          <w:color w:val="1A3A6B"/>
          <w:sz w:val="28"/>
        </w:rPr>
        <w:t>10. Go-to-Market Strategy</w:t>
      </w:r>
    </w:p>
    <w:p>
      <w:pPr>
        <w:pStyle w:val="Heading2"/>
      </w:pPr>
      <w:r>
        <w:rPr>
          <w:color w:val="1A3A6B"/>
          <w:sz w:val="24"/>
        </w:rPr>
        <w:t>Phase 1 — Launch (Months 1–3)</w:t>
      </w:r>
    </w:p>
    <w:p>
      <w:pPr>
        <w:pStyle w:val="ListBullet"/>
      </w:pPr>
      <w:r>
        <w:rPr>
          <w:sz w:val="22"/>
        </w:rPr>
        <w:t>Onboard 5–10 verified dealers in Dar es Salaam</w:t>
      </w:r>
    </w:p>
    <w:p>
      <w:pPr>
        <w:pStyle w:val="ListBullet"/>
      </w:pPr>
      <w:r>
        <w:rPr>
          <w:sz w:val="22"/>
        </w:rPr>
        <w:t>Integrate the bank's loan product terms and application flow</w:t>
      </w:r>
    </w:p>
    <w:p>
      <w:pPr>
        <w:pStyle w:val="ListBullet"/>
      </w:pPr>
      <w:r>
        <w:rPr>
          <w:sz w:val="22"/>
        </w:rPr>
        <w:t>Run targeted Facebook/Instagram ads to car buyers in DSM</w:t>
      </w:r>
    </w:p>
    <w:p>
      <w:pPr>
        <w:pStyle w:val="ListBullet"/>
      </w:pPr>
      <w:r>
        <w:rPr>
          <w:sz w:val="22"/>
        </w:rPr>
        <w:t>Offer dealers free listings for 90 days to build inventory volume</w:t>
      </w:r>
    </w:p>
    <w:p>
      <w:pPr>
        <w:pStyle w:val="Heading2"/>
      </w:pPr>
      <w:r>
        <w:rPr>
          <w:color w:val="1A3A6B"/>
          <w:sz w:val="24"/>
        </w:rPr>
        <w:t>Phase 2 — Growth (Months 4–9)</w:t>
      </w:r>
    </w:p>
    <w:p>
      <w:pPr>
        <w:pStyle w:val="ListBullet"/>
      </w:pPr>
      <w:r>
        <w:rPr>
          <w:sz w:val="22"/>
        </w:rPr>
        <w:t>Expand dealer network to Arusha and Mwanza</w:t>
      </w:r>
    </w:p>
    <w:p>
      <w:pPr>
        <w:pStyle w:val="ListBullet"/>
      </w:pPr>
      <w:r>
        <w:rPr>
          <w:sz w:val="22"/>
        </w:rPr>
        <w:t>Introduce dealer subscriptions and featured listings</w:t>
      </w:r>
    </w:p>
    <w:p>
      <w:pPr>
        <w:pStyle w:val="ListBullet"/>
      </w:pPr>
      <w:r>
        <w:rPr>
          <w:sz w:val="22"/>
        </w:rPr>
        <w:t>Add insurance partner commissions</w:t>
      </w:r>
    </w:p>
    <w:p>
      <w:pPr>
        <w:pStyle w:val="ListBullet"/>
      </w:pPr>
      <w:r>
        <w:rPr>
          <w:sz w:val="22"/>
        </w:rPr>
        <w:t>Co-brand platform with the bank for increased trust and visibility</w:t>
      </w:r>
    </w:p>
    <w:p>
      <w:pPr>
        <w:pStyle w:val="Heading2"/>
      </w:pPr>
      <w:r>
        <w:rPr>
          <w:color w:val="1A3A6B"/>
          <w:sz w:val="24"/>
        </w:rPr>
        <w:t>Phase 3 — Scale (Months 10–24)</w:t>
      </w:r>
    </w:p>
    <w:p>
      <w:pPr>
        <w:pStyle w:val="ListBullet"/>
      </w:pPr>
      <w:r>
        <w:rPr>
          <w:sz w:val="22"/>
        </w:rPr>
        <w:t>Build mobile app (React Native, same backend)</w:t>
      </w:r>
    </w:p>
    <w:p>
      <w:pPr>
        <w:pStyle w:val="ListBullet"/>
      </w:pPr>
      <w:r>
        <w:rPr>
          <w:sz w:val="22"/>
        </w:rPr>
        <w:t>Explore regional expansion to Kenya (bank's Kenya branch or partner bank)</w:t>
      </w:r>
    </w:p>
    <w:p>
      <w:pPr>
        <w:pStyle w:val="ListBullet"/>
      </w:pPr>
      <w:r>
        <w:rPr>
          <w:sz w:val="22"/>
        </w:rPr>
        <w:t>Introduce credit pre-qualification flow to improve application conversion rates</w:t>
      </w:r>
    </w:p>
    <w:p/>
    <w:p>
      <w:pPr>
        <w:pStyle w:val="Heading1"/>
      </w:pPr>
      <w:r>
        <w:rPr>
          <w:color w:val="1A3A6B"/>
          <w:sz w:val="28"/>
        </w:rPr>
        <w:t>11. Technology Stack &amp; Running Costs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4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4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Monthly Cost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React (Vercel)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$20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Supabase (PostgreSQL)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$25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Authentication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Supabase Auth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Included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File Storage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Supabase Storage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Included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Custom (.co.tz)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0"/>
              </w:rPr>
              <w:t>~$15/year</w:t>
            </w:r>
          </w:p>
        </w:tc>
      </w:tr>
      <w:tr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Total running cost</w:t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304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~$45/month</w:t>
            </w:r>
          </w:p>
        </w:tc>
      </w:tr>
    </w:tbl>
    <w:p/>
    <w:p>
      <w:r>
        <w:rPr>
          <w:sz w:val="22"/>
        </w:rPr>
        <w:t>Infrastructure costs are minimal and scale linearly with usage — no large upfront technology investment required from the bank.</w:t>
      </w:r>
    </w:p>
    <w:p/>
    <w:p>
      <w:pPr>
        <w:pStyle w:val="Heading1"/>
      </w:pPr>
      <w:r>
        <w:rPr>
          <w:color w:val="1A3A6B"/>
          <w:sz w:val="28"/>
        </w:rPr>
        <w:t>12. Engagement Options</w:t>
      </w:r>
    </w:p>
    <w:p>
      <w:r>
        <w:rPr>
          <w:sz w:val="22"/>
        </w:rPr>
        <w:t>Two engagement models are available. The bank may choose the one that best fits its strategy.</w:t>
      </w:r>
    </w:p>
    <w:p>
      <w:pPr>
        <w:pStyle w:val="Heading2"/>
      </w:pPr>
      <w:r>
        <w:rPr>
          <w:color w:val="1A3A6B"/>
          <w:sz w:val="24"/>
        </w:rPr>
        <w:t>Option A — Revenue-Share Partnership</w:t>
      </w:r>
    </w:p>
    <w:p>
      <w:r>
        <w:rPr>
          <w:sz w:val="22"/>
        </w:rPr>
        <w:t>AutoFinance Hub remains independently owned and operated. The bank participates as the exclusive financing partner.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Bank's role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Exclusive financing partner — sole lender on the platform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Bank's cost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0.5% referral fee per successfully disbursed loan only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Platform's role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Build and maintain the buyer/seller experience, drive traffic, manage dealer onboarding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Integration needed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API or webhook to receive structured loan applications from the platform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Co-branding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Bank logo and approved messaging displayed to all users in the financing flow</w:t>
            </w:r>
          </w:p>
        </w:tc>
      </w:tr>
    </w:tbl>
    <w:p/>
    <w:p>
      <w:r>
        <w:rPr>
          <w:sz w:val="22"/>
        </w:rPr>
        <w:t xml:space="preserve">No upfront fee is required from the bank. The partnership is </w:t>
      </w:r>
      <w:r>
        <w:rPr>
          <w:b/>
          <w:sz w:val="22"/>
        </w:rPr>
        <w:t>performance-based</w:t>
      </w:r>
      <w:r>
        <w:rPr>
          <w:sz w:val="22"/>
        </w:rPr>
        <w:t xml:space="preserve"> — the platform earns only when the bank disburses a loan.</w:t>
      </w:r>
    </w:p>
    <w:p>
      <w:pPr>
        <w:pStyle w:val="Heading2"/>
      </w:pPr>
      <w:r>
        <w:rPr>
          <w:color w:val="1A3A6B"/>
          <w:sz w:val="24"/>
        </w:rPr>
        <w:t>Option B — Full Platform Acquisition</w:t>
      </w:r>
    </w:p>
    <w:p>
      <w:r>
        <w:rPr>
          <w:sz w:val="22"/>
        </w:rPr>
        <w:t>The bank purchases the AutoFinance Hub platform outright and takes full ownership and operational control. The platform is rebranded and managed entirely by the bank.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61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Ownership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Full transfer of source code, database, domain, and all platform assets to the bank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Operations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The bank manages all platform functions — sellers, buyers, applications, and administration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Seller &amp; buyer fees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The bank retains 100% of all listing fees, commissions, and transaction revenue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Support contract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Seller (Frank Joram) provides a dedicated technical support and maintenance contract post-acquisition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Support scope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Bug fixes, feature updates, technical guidance, and onboarding support for the bank's internal team</w:t>
            </w:r>
          </w:p>
        </w:tc>
      </w:tr>
      <w:tr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Acquisition price</w:t>
            </w:r>
          </w:p>
        </w:tc>
        <w:tc>
          <w:tcPr>
            <w:tcW w:type="dxa" w:w="4561"/>
            <w:shd w:val="clear" w:color="auto" w:fill="EEF2FF"/>
          </w:tcPr>
          <w:p>
            <w:pPr>
              <w:jc w:val="left"/>
            </w:pPr>
            <w:r>
              <w:rPr>
                <w:sz w:val="20"/>
              </w:rPr>
              <w:t>To be agreed between both parties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Support contract fee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0"/>
              </w:rPr>
              <w:t>To be agreed between both parties</w:t>
            </w:r>
          </w:p>
        </w:tc>
      </w:tr>
    </w:tbl>
    <w:p/>
    <w:p>
      <w:r>
        <w:rPr>
          <w:sz w:val="22"/>
        </w:rPr>
        <w:t>This option gives the bank complete autonomy — no revenue sharing, no ongoing dependency on a third party for the core product. The only ongoing engagement is a support contract to ensure continuity and smooth operation.</w:t>
      </w:r>
    </w:p>
    <w:p>
      <w:pPr>
        <w:spacing w:after="40"/>
      </w:pPr>
      <w:r>
        <w:rPr>
          <w:b/>
          <w:sz w:val="22"/>
        </w:rPr>
        <w:t xml:space="preserve">Why this makes sense for the bank: 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Full control over branding, data, and product direction</w:t>
      </w:r>
    </w:p>
    <w:p>
      <w:pPr>
        <w:pStyle w:val="ListBullet"/>
      </w:pPr>
      <w:r>
        <w:rPr>
          <w:sz w:val="22"/>
        </w:rPr>
        <w:t>The platform becomes a proprietary bank asset</w:t>
      </w:r>
    </w:p>
    <w:p>
      <w:pPr>
        <w:pStyle w:val="ListBullet"/>
      </w:pPr>
      <w:r>
        <w:rPr>
          <w:sz w:val="22"/>
        </w:rPr>
        <w:t>No profit-sharing on loan disbursements or seller fees</w:t>
      </w:r>
    </w:p>
    <w:p>
      <w:pPr>
        <w:pStyle w:val="ListBullet"/>
      </w:pPr>
      <w:r>
        <w:rPr>
          <w:sz w:val="22"/>
        </w:rPr>
        <w:t>The support contract ensures institutional knowledge is retained during transition</w:t>
      </w:r>
    </w:p>
    <w:p/>
    <w:p>
      <w:pPr>
        <w:pStyle w:val="Heading1"/>
      </w:pPr>
      <w:r>
        <w:rPr>
          <w:color w:val="1A3A6B"/>
          <w:sz w:val="28"/>
        </w:rPr>
        <w:t>13. Team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Founder / Product Lead:</w:t>
      </w:r>
      <w:r>
        <w:rPr>
          <w:sz w:val="22"/>
        </w:rPr>
        <w:t xml:space="preserve"> Frank Joram — built the platform end-to-end, understands both product and the Tanzanian market</w:t>
      </w:r>
    </w:p>
    <w:p>
      <w:pPr>
        <w:pStyle w:val="ListBullet"/>
      </w:pPr>
      <w:r>
        <w:rPr>
          <w:sz w:val="22"/>
        </w:rPr>
        <w:t>*Open roles:* Partnerships Manager, Customer Support, Digital Marketing Specialist</w:t>
      </w:r>
    </w:p>
    <w:p/>
    <w:p>
      <w:pPr>
        <w:pStyle w:val="Heading1"/>
      </w:pPr>
      <w:r>
        <w:rPr>
          <w:color w:val="1A3A6B"/>
          <w:sz w:val="28"/>
        </w:rPr>
        <w:t>14. Conclusion</w:t>
      </w:r>
    </w:p>
    <w:p>
      <w:r>
        <w:rPr>
          <w:sz w:val="22"/>
        </w:rPr>
        <w:t>AutoFinance Hub gives I&amp;M Bank a ready-made digital channel to grow its car loan book — without building anything from scratch. The platform is live, the dealer network is being onboarded, and the product is fully operational today.</w:t>
      </w:r>
    </w:p>
    <w:p>
      <w:r>
        <w:rPr>
          <w:sz w:val="22"/>
        </w:rPr>
        <w:t>Two clear paths are on the table: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Option A</w:t>
      </w:r>
      <w:r>
        <w:rPr>
          <w:sz w:val="22"/>
        </w:rPr>
        <w:t xml:space="preserve"> — Partner with the platform on a performance-based revenue share, with zero upfront cost and payment tied only to successful loan disbursements.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Option B</w:t>
      </w:r>
      <w:r>
        <w:rPr>
          <w:sz w:val="22"/>
        </w:rPr>
        <w:t xml:space="preserve"> — Acquire the platform outright, take full ownership and control, and engage the builder on a support contract to ensure a smooth transition.</w:t>
      </w:r>
    </w:p>
    <w:p>
      <w:r>
        <w:rPr>
          <w:sz w:val="22"/>
        </w:rPr>
        <w:t>Either way, I&amp;M Bank gains immediate access to a digital car financing channel that would take 12–18 months and significant investment to build internally.</w:t>
      </w:r>
    </w:p>
    <w:p>
      <w:r>
        <w:rPr>
          <w:sz w:val="22"/>
        </w:rPr>
        <w:t>We welcome a meeting to walk through the live platform, review the codebase, and agree on the preferred engagement model.</w:t>
      </w:r>
    </w:p>
    <w:p>
      <w:r>
        <w:rPr>
          <w:i/>
          <w:color w:val="6C757D"/>
          <w:sz w:val="20"/>
        </w:rPr>
        <w:t>For inquiries, contact: frank.joram@gmail.com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