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/>
        <w:jc w:val="center"/>
      </w:pPr>
      <w:r>
        <w:rPr>
          <w:rFonts w:ascii="Times New Roman" w:hAnsi="Times New Roman"/>
          <w:b/>
          <w:sz w:val="32"/>
        </w:rPr>
        <w:t>FRANCIS JORDAN HASNAWI</w:t>
      </w:r>
    </w:p>
    <w:p>
      <w:pPr>
        <w:spacing w:before="0" w:after="60"/>
        <w:jc w:val="center"/>
      </w:pPr>
      <w:r>
        <w:rPr>
          <w:rFonts w:ascii="Times New Roman" w:hAnsi="Times New Roman"/>
          <w:sz w:val="18"/>
        </w:rPr>
        <w:t>Jakarta, Indonesia  |  +62 858-8121-8999  |  francis.hasnawi@binus.ac.id</w:t>
        <w:br/>
        <w:t>linkedin.com/in/francis-jordan-hasnawi-a90539326  |  github.com/fjordh12</w:t>
      </w:r>
    </w:p>
    <w:p>
      <w:pPr>
        <w:spacing w:before="120" w:after="50"/>
        <w:pBdr>
          <w:bottom w:val="single" w:sz="6" w:space="1" w:color="333333"/>
        </w:pBdr>
      </w:pPr>
      <w:r>
        <w:rPr>
          <w:rFonts w:ascii="Times New Roman" w:hAnsi="Times New Roman"/>
          <w:b/>
          <w:color w:val="000000"/>
          <w:sz w:val="21"/>
        </w:rPr>
        <w:t>EDUCATION</w:t>
      </w:r>
    </w:p>
    <w:p>
      <w:pPr>
        <w:tabs>
          <w:tab w:pos="10512" w:val="right"/>
        </w:tabs>
        <w:spacing w:before="30" w:after="0"/>
      </w:pPr>
      <w:r>
        <w:rPr>
          <w:rFonts w:ascii="Times New Roman" w:hAnsi="Times New Roman"/>
          <w:b/>
          <w:i w:val="0"/>
          <w:sz w:val="19"/>
        </w:rPr>
        <w:t>Bina Nusantara University (BINUS)</w:t>
      </w:r>
      <w:r>
        <w:tab/>
      </w:r>
      <w:r>
        <w:rPr>
          <w:rFonts w:ascii="Times New Roman" w:hAnsi="Times New Roman"/>
          <w:b w:val="0"/>
          <w:i w:val="0"/>
          <w:sz w:val="19"/>
        </w:rPr>
        <w:t>Jakarta, Indonesia</w:t>
      </w:r>
    </w:p>
    <w:p>
      <w:pPr>
        <w:tabs>
          <w:tab w:pos="10512" w:val="right"/>
        </w:tabs>
        <w:spacing w:before="0" w:after="0"/>
      </w:pPr>
      <w:r>
        <w:rPr>
          <w:rFonts w:ascii="Times New Roman" w:hAnsi="Times New Roman"/>
          <w:b w:val="0"/>
          <w:i/>
          <w:sz w:val="19"/>
        </w:rPr>
        <w:t>Bachelor of Computer Science in Database Technology (Mahasiswa Aktif / Active Undergraduate)</w:t>
      </w:r>
      <w:r>
        <w:tab/>
      </w:r>
      <w:r>
        <w:rPr>
          <w:rFonts w:ascii="Times New Roman" w:hAnsi="Times New Roman"/>
          <w:b w:val="0"/>
          <w:i/>
          <w:sz w:val="19"/>
        </w:rPr>
        <w:t>Expected 2028</w:t>
      </w:r>
    </w:p>
    <w:p>
      <w:pPr>
        <w:spacing w:before="20" w:after="40"/>
        <w:ind w:left="216"/>
      </w:pPr>
      <w:r>
        <w:rPr>
          <w:b/>
          <w:sz w:val="18"/>
        </w:rPr>
        <w:t>Cumulative GPA: 3.72 / 4.00</w:t>
        <w:br/>
      </w:r>
      <w:r>
        <w:rPr>
          <w:sz w:val="17"/>
        </w:rPr>
        <w:t>Relevant Coursework: Database Systems (SQL, MySQL, PostgreSQL, Relational Design &amp; Normalization), Data Warehousing &amp; ETL (Pentaho), Object-Oriented Programming (Java), Data Visualization (Tableau), Git Version Control, Virtualization Basics.</w:t>
      </w:r>
    </w:p>
    <w:p>
      <w:pPr>
        <w:tabs>
          <w:tab w:pos="10512" w:val="right"/>
        </w:tabs>
        <w:spacing w:before="30" w:after="0"/>
      </w:pPr>
      <w:r>
        <w:rPr>
          <w:rFonts w:ascii="Times New Roman" w:hAnsi="Times New Roman"/>
          <w:b/>
          <w:i w:val="0"/>
          <w:sz w:val="19"/>
        </w:rPr>
        <w:t>Sekolah Kemurnian II</w:t>
      </w:r>
      <w:r>
        <w:tab/>
      </w:r>
      <w:r>
        <w:rPr>
          <w:rFonts w:ascii="Times New Roman" w:hAnsi="Times New Roman"/>
          <w:b w:val="0"/>
          <w:i w:val="0"/>
          <w:sz w:val="19"/>
        </w:rPr>
        <w:t>Jakarta, Indonesia</w:t>
      </w:r>
    </w:p>
    <w:p>
      <w:pPr>
        <w:tabs>
          <w:tab w:pos="10512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High School Diploma (Science / MIPA Track)</w:t>
      </w:r>
      <w:r>
        <w:tab/>
      </w:r>
      <w:r>
        <w:rPr>
          <w:rFonts w:ascii="Times New Roman" w:hAnsi="Times New Roman"/>
          <w:b w:val="0"/>
          <w:i/>
          <w:sz w:val="19"/>
        </w:rPr>
        <w:t>Graduated 2024</w:t>
      </w:r>
    </w:p>
    <w:p>
      <w:pPr>
        <w:spacing w:before="120" w:after="50"/>
        <w:pBdr>
          <w:bottom w:val="single" w:sz="6" w:space="1" w:color="333333"/>
        </w:pBdr>
      </w:pPr>
      <w:r>
        <w:rPr>
          <w:rFonts w:ascii="Times New Roman" w:hAnsi="Times New Roman"/>
          <w:b/>
          <w:color w:val="000000"/>
          <w:sz w:val="21"/>
        </w:rPr>
        <w:t>TECHNICAL SKILLS</w:t>
      </w:r>
    </w:p>
    <w:p>
      <w:pPr>
        <w:spacing w:before="10" w:after="20"/>
        <w:ind w:left="216"/>
      </w:pPr>
      <w:r>
        <w:rPr>
          <w:b/>
          <w:sz w:val="18"/>
        </w:rPr>
        <w:t xml:space="preserve">Data Warehousing &amp; ETL: </w:t>
      </w:r>
      <w:r>
        <w:rPr>
          <w:sz w:val="18"/>
        </w:rPr>
        <w:t>Data Warehousing, Pentaho Data Integration (Spoon), End-to-End Data Pipelines, Star-Schema Modeling, Fact &amp; Dimension Tables, Data Normalization.</w:t>
      </w:r>
    </w:p>
    <w:p>
      <w:pPr>
        <w:spacing w:before="10" w:after="20"/>
        <w:ind w:left="216"/>
      </w:pPr>
      <w:r>
        <w:rPr>
          <w:b/>
          <w:sz w:val="18"/>
        </w:rPr>
        <w:t xml:space="preserve">Databases &amp; Systems: </w:t>
      </w:r>
      <w:r>
        <w:rPr>
          <w:sz w:val="18"/>
        </w:rPr>
        <w:t>SQL &amp; NoSQL (PostgreSQL / Supabase with JSONB Document Store, MySQL), Relational Database Design, Schema Normalization (1NF–3NF), Semi-Structured Modeling, Data Integrity.</w:t>
      </w:r>
    </w:p>
    <w:p>
      <w:pPr>
        <w:spacing w:before="10" w:after="20"/>
        <w:ind w:left="216"/>
      </w:pPr>
      <w:r>
        <w:rPr>
          <w:b/>
          <w:sz w:val="18"/>
        </w:rPr>
        <w:t xml:space="preserve">Data Visualization &amp; BI: </w:t>
      </w:r>
      <w:r>
        <w:rPr>
          <w:sz w:val="18"/>
        </w:rPr>
        <w:t>Tableau Desktop, Executive Dashboard Design, KPI Formulation, Exploratory Data Analysis (EDA), Advanced Excel.</w:t>
      </w:r>
    </w:p>
    <w:p>
      <w:pPr>
        <w:spacing w:before="10" w:after="20"/>
        <w:ind w:left="216"/>
      </w:pPr>
      <w:r>
        <w:rPr>
          <w:b/>
          <w:sz w:val="18"/>
        </w:rPr>
        <w:t xml:space="preserve">Programming &amp; Tools: </w:t>
      </w:r>
      <w:r>
        <w:rPr>
          <w:sz w:val="18"/>
        </w:rPr>
        <w:t>Java (Object-Oriented Programming), Python (Pandas, NumPy, Seaborn), Git &amp; GitHub, RESTful APIs, C, Linux CLI Awareness.</w:t>
      </w:r>
    </w:p>
    <w:p>
      <w:pPr>
        <w:spacing w:before="120" w:after="50"/>
        <w:pBdr>
          <w:bottom w:val="single" w:sz="6" w:space="1" w:color="333333"/>
        </w:pBdr>
      </w:pPr>
      <w:r>
        <w:rPr>
          <w:rFonts w:ascii="Times New Roman" w:hAnsi="Times New Roman"/>
          <w:b/>
          <w:color w:val="000000"/>
          <w:sz w:val="21"/>
        </w:rPr>
        <w:t>PROJECTS &amp; RESEARCH</w:t>
      </w:r>
    </w:p>
    <w:p>
      <w:pPr>
        <w:tabs>
          <w:tab w:pos="10512" w:val="right"/>
        </w:tabs>
        <w:spacing w:before="40" w:after="0"/>
      </w:pPr>
      <w:r>
        <w:rPr>
          <w:rFonts w:ascii="Times New Roman" w:hAnsi="Times New Roman"/>
          <w:b/>
          <w:i w:val="0"/>
          <w:sz w:val="19"/>
        </w:rPr>
        <w:t>Enterprise Data Warehousing &amp; Comparative ETL Pipelines | Pentaho &amp; Python</w:t>
      </w:r>
      <w:r>
        <w:tab/>
      </w:r>
      <w:r>
        <w:rPr>
          <w:rFonts w:ascii="Times New Roman" w:hAnsi="Times New Roman"/>
          <w:b w:val="0"/>
          <w:i w:val="0"/>
          <w:sz w:val="19"/>
        </w:rPr>
        <w:t>2026</w:t>
      </w:r>
    </w:p>
    <w:p>
      <w:pPr>
        <w:pStyle w:val="ListBullet"/>
        <w:spacing w:before="10" w:after="20" w:line="252" w:lineRule="auto"/>
        <w:ind w:left="317"/>
      </w:pPr>
      <w:r>
        <w:rPr>
          <w:rFonts w:ascii="Times New Roman" w:hAnsi="Times New Roman"/>
          <w:sz w:val="18"/>
        </w:rPr>
        <w:t>Built and managed data pipelines for enterprise data warehousing (</w:t>
      </w:r>
      <w:r>
        <w:rPr>
          <w:rFonts w:ascii="Times New Roman" w:hAnsi="Times New Roman"/>
          <w:b/>
          <w:sz w:val="18"/>
        </w:rPr>
        <w:t>membangun dan mengelola data pipeline untuk data warehousing</w:t>
      </w:r>
      <w:r>
        <w:rPr>
          <w:rFonts w:ascii="Times New Roman" w:hAnsi="Times New Roman"/>
          <w:sz w:val="18"/>
        </w:rPr>
        <w:t>), transforming multi-source macroeconomic datasets (</w:t>
      </w:r>
      <w:r>
        <w:rPr>
          <w:rFonts w:ascii="Times New Roman" w:hAnsi="Times New Roman"/>
          <w:b/>
          <w:sz w:val="18"/>
        </w:rPr>
        <w:t>184–212 countries</w:t>
      </w:r>
      <w:r>
        <w:rPr>
          <w:rFonts w:ascii="Times New Roman" w:hAnsi="Times New Roman"/>
          <w:sz w:val="18"/>
        </w:rPr>
        <w:t xml:space="preserve">) into structured </w:t>
      </w:r>
      <w:r>
        <w:rPr>
          <w:rFonts w:ascii="Times New Roman" w:hAnsi="Times New Roman"/>
          <w:b/>
          <w:sz w:val="18"/>
        </w:rPr>
        <w:t>Star-Schema Fact and Dimension tables</w:t>
      </w:r>
      <w:r>
        <w:rPr>
          <w:rFonts w:ascii="Times New Roman" w:hAnsi="Times New Roman"/>
          <w:sz w:val="18"/>
        </w:rPr>
        <w:t>.</w:t>
      </w:r>
    </w:p>
    <w:p>
      <w:pPr>
        <w:pStyle w:val="ListBullet"/>
        <w:spacing w:before="10" w:after="20" w:line="252" w:lineRule="auto"/>
        <w:ind w:left="317"/>
      </w:pPr>
      <w:r>
        <w:rPr>
          <w:rFonts w:ascii="Times New Roman" w:hAnsi="Times New Roman"/>
          <w:sz w:val="18"/>
        </w:rPr>
        <w:t xml:space="preserve">Constructed visual ETL pipelines in </w:t>
      </w:r>
      <w:r>
        <w:rPr>
          <w:rFonts w:ascii="Times New Roman" w:hAnsi="Times New Roman"/>
          <w:b/>
          <w:sz w:val="18"/>
        </w:rPr>
        <w:t>Pentaho Data Integration (Spoon)</w:t>
      </w:r>
      <w:r>
        <w:rPr>
          <w:rFonts w:ascii="Times New Roman" w:hAnsi="Times New Roman"/>
          <w:sz w:val="18"/>
        </w:rPr>
        <w:t xml:space="preserve"> using Row Normalizer, Filter Rows, and Merge Joins, integrated with Python scripts managed under </w:t>
      </w:r>
      <w:r>
        <w:rPr>
          <w:rFonts w:ascii="Times New Roman" w:hAnsi="Times New Roman"/>
          <w:b/>
          <w:sz w:val="18"/>
        </w:rPr>
        <w:t>Git</w:t>
      </w:r>
      <w:r>
        <w:rPr>
          <w:rFonts w:ascii="Times New Roman" w:hAnsi="Times New Roman"/>
          <w:sz w:val="18"/>
        </w:rPr>
        <w:t xml:space="preserve"> version control.</w:t>
      </w:r>
    </w:p>
    <w:p>
      <w:pPr>
        <w:pStyle w:val="ListBullet"/>
        <w:spacing w:before="10" w:after="20" w:line="252" w:lineRule="auto"/>
        <w:ind w:left="317"/>
      </w:pPr>
      <w:r>
        <w:rPr>
          <w:rFonts w:ascii="Times New Roman" w:hAnsi="Times New Roman"/>
          <w:sz w:val="18"/>
        </w:rPr>
        <w:t>Co-authored IEEE-format research evaluating execution latency, schema auditability, and pipeline reproducibility comparing visual low-code workflows against script-based Python architectures.</w:t>
      </w:r>
    </w:p>
    <w:p>
      <w:pPr>
        <w:tabs>
          <w:tab w:pos="10512" w:val="right"/>
        </w:tabs>
        <w:spacing w:before="50" w:after="0"/>
      </w:pPr>
      <w:r>
        <w:rPr>
          <w:rFonts w:ascii="Times New Roman" w:hAnsi="Times New Roman"/>
          <w:b/>
          <w:i w:val="0"/>
          <w:sz w:val="19"/>
        </w:rPr>
        <w:t>Portfolio Credit Risk &amp; Delinquency Intelligence | Tableau Desktop</w:t>
      </w:r>
      <w:r>
        <w:tab/>
      </w:r>
      <w:r>
        <w:rPr>
          <w:rFonts w:ascii="Times New Roman" w:hAnsi="Times New Roman"/>
          <w:b w:val="0"/>
          <w:i w:val="0"/>
          <w:sz w:val="19"/>
        </w:rPr>
        <w:t>2026</w:t>
      </w:r>
    </w:p>
    <w:p>
      <w:pPr>
        <w:pStyle w:val="ListBullet"/>
        <w:spacing w:before="10" w:after="20" w:line="252" w:lineRule="auto"/>
        <w:ind w:left="317"/>
      </w:pPr>
      <w:r>
        <w:rPr>
          <w:rFonts w:ascii="Times New Roman" w:hAnsi="Times New Roman"/>
          <w:sz w:val="18"/>
        </w:rPr>
        <w:t xml:space="preserve">Analyzed enterprise credit dataset comprising </w:t>
      </w:r>
      <w:r>
        <w:rPr>
          <w:rFonts w:ascii="Times New Roman" w:hAnsi="Times New Roman"/>
          <w:b/>
          <w:sz w:val="18"/>
        </w:rPr>
        <w:t>2.26 million loan accounts</w:t>
      </w:r>
      <w:r>
        <w:rPr>
          <w:rFonts w:ascii="Times New Roman" w:hAnsi="Times New Roman"/>
          <w:sz w:val="18"/>
        </w:rPr>
        <w:t xml:space="preserve"> (</w:t>
      </w:r>
      <w:r>
        <w:rPr>
          <w:rFonts w:ascii="Times New Roman" w:hAnsi="Times New Roman"/>
          <w:b/>
          <w:sz w:val="18"/>
        </w:rPr>
        <w:t>$34.01 Billion</w:t>
      </w:r>
      <w:r>
        <w:rPr>
          <w:rFonts w:ascii="Times New Roman" w:hAnsi="Times New Roman"/>
          <w:sz w:val="18"/>
        </w:rPr>
        <w:t xml:space="preserve"> funded volume) spanning 2008–2018 to evaluate credit risk distribution and portfolio default rates.</w:t>
      </w:r>
    </w:p>
    <w:p>
      <w:pPr>
        <w:pStyle w:val="ListBullet"/>
        <w:spacing w:before="10" w:after="20" w:line="252" w:lineRule="auto"/>
        <w:ind w:left="317"/>
      </w:pPr>
      <w:r>
        <w:rPr>
          <w:rFonts w:ascii="Times New Roman" w:hAnsi="Times New Roman"/>
          <w:sz w:val="18"/>
        </w:rPr>
        <w:t xml:space="preserve">Architected interactive executive </w:t>
      </w:r>
      <w:r>
        <w:rPr>
          <w:rFonts w:ascii="Times New Roman" w:hAnsi="Times New Roman"/>
          <w:b/>
          <w:sz w:val="18"/>
        </w:rPr>
        <w:t>Data Visualization</w:t>
      </w:r>
      <w:r>
        <w:rPr>
          <w:rFonts w:ascii="Times New Roman" w:hAnsi="Times New Roman"/>
          <w:sz w:val="18"/>
        </w:rPr>
        <w:t xml:space="preserve"> dashboards in Tableau tracking default rate (NPL) escalation from </w:t>
      </w:r>
      <w:r>
        <w:rPr>
          <w:rFonts w:ascii="Times New Roman" w:hAnsi="Times New Roman"/>
          <w:b/>
          <w:sz w:val="18"/>
        </w:rPr>
        <w:t>Grade A (5.04%)</w:t>
      </w:r>
      <w:r>
        <w:rPr>
          <w:rFonts w:ascii="Times New Roman" w:hAnsi="Times New Roman"/>
          <w:sz w:val="18"/>
        </w:rPr>
        <w:t xml:space="preserve"> to </w:t>
      </w:r>
      <w:r>
        <w:rPr>
          <w:rFonts w:ascii="Times New Roman" w:hAnsi="Times New Roman"/>
          <w:b/>
          <w:sz w:val="18"/>
        </w:rPr>
        <w:t>Grade G (41.40%)</w:t>
      </w:r>
      <w:r>
        <w:rPr>
          <w:rFonts w:ascii="Times New Roman" w:hAnsi="Times New Roman"/>
          <w:sz w:val="18"/>
        </w:rPr>
        <w:t>, validating interest rate risk premiums.</w:t>
      </w:r>
    </w:p>
    <w:p>
      <w:pPr>
        <w:pStyle w:val="ListBullet"/>
        <w:spacing w:before="10" w:after="20" w:line="252" w:lineRule="auto"/>
        <w:ind w:left="317"/>
      </w:pPr>
      <w:r>
        <w:rPr>
          <w:rFonts w:ascii="Times New Roman" w:hAnsi="Times New Roman"/>
          <w:sz w:val="18"/>
        </w:rPr>
        <w:t>Formulated Debt-to-Income (DTI) underwriting risk matrices and state delinquency maps to pinpoint high-risk borrower profiles and recommend stricter verification policies.</w:t>
      </w:r>
    </w:p>
    <w:p>
      <w:pPr>
        <w:tabs>
          <w:tab w:pos="10512" w:val="right"/>
        </w:tabs>
        <w:spacing w:before="50" w:after="0"/>
      </w:pPr>
      <w:r>
        <w:rPr>
          <w:rFonts w:ascii="Times New Roman" w:hAnsi="Times New Roman"/>
          <w:b/>
          <w:i w:val="0"/>
          <w:sz w:val="19"/>
        </w:rPr>
        <w:t>GrowMass — Hybrid Cloud Database &amp; Production Optimizer | PostgreSQL (SQL &amp; NoSQL)</w:t>
      </w:r>
      <w:r>
        <w:tab/>
      </w:r>
      <w:r>
        <w:rPr>
          <w:rFonts w:ascii="Times New Roman" w:hAnsi="Times New Roman"/>
          <w:b w:val="0"/>
          <w:i w:val="0"/>
          <w:sz w:val="19"/>
        </w:rPr>
        <w:t>2026</w:t>
      </w:r>
    </w:p>
    <w:p>
      <w:pPr>
        <w:pStyle w:val="ListBullet"/>
        <w:spacing w:before="10" w:after="20" w:line="252" w:lineRule="auto"/>
        <w:ind w:left="317"/>
      </w:pPr>
      <w:r>
        <w:rPr>
          <w:rFonts w:ascii="Times New Roman" w:hAnsi="Times New Roman"/>
          <w:sz w:val="18"/>
        </w:rPr>
        <w:t xml:space="preserve">Architected a hybrid database in </w:t>
      </w:r>
      <w:r>
        <w:rPr>
          <w:rFonts w:ascii="Times New Roman" w:hAnsi="Times New Roman"/>
          <w:b/>
          <w:sz w:val="18"/>
        </w:rPr>
        <w:t>PostgreSQL (Supabase)</w:t>
      </w:r>
      <w:r>
        <w:rPr>
          <w:rFonts w:ascii="Times New Roman" w:hAnsi="Times New Roman"/>
          <w:sz w:val="18"/>
        </w:rPr>
        <w:t xml:space="preserve"> combining </w:t>
      </w:r>
      <w:r>
        <w:rPr>
          <w:rFonts w:ascii="Times New Roman" w:hAnsi="Times New Roman"/>
          <w:b/>
          <w:sz w:val="18"/>
        </w:rPr>
        <w:t>relational tables</w:t>
      </w:r>
      <w:r>
        <w:rPr>
          <w:rFonts w:ascii="Times New Roman" w:hAnsi="Times New Roman"/>
          <w:sz w:val="18"/>
        </w:rPr>
        <w:t xml:space="preserve"> (1NF–3NF) and </w:t>
      </w:r>
      <w:r>
        <w:rPr>
          <w:rFonts w:ascii="Times New Roman" w:hAnsi="Times New Roman"/>
          <w:b/>
          <w:sz w:val="18"/>
        </w:rPr>
        <w:t>NoSQL JSONB document storage</w:t>
      </w:r>
      <w:r>
        <w:rPr>
          <w:rFonts w:ascii="Times New Roman" w:hAnsi="Times New Roman"/>
          <w:sz w:val="18"/>
        </w:rPr>
        <w:t xml:space="preserve"> for polymorphic splicing trees and plan snapshots, indexed via </w:t>
      </w:r>
      <w:r>
        <w:rPr>
          <w:rFonts w:ascii="Times New Roman" w:hAnsi="Times New Roman"/>
          <w:b/>
          <w:sz w:val="18"/>
        </w:rPr>
        <w:t>GIN</w:t>
      </w:r>
      <w:r>
        <w:rPr>
          <w:rFonts w:ascii="Times New Roman" w:hAnsi="Times New Roman"/>
          <w:sz w:val="18"/>
        </w:rPr>
        <w:t xml:space="preserve"> and secured with </w:t>
      </w:r>
      <w:r>
        <w:rPr>
          <w:rFonts w:ascii="Times New Roman" w:hAnsi="Times New Roman"/>
          <w:b/>
          <w:sz w:val="18"/>
        </w:rPr>
        <w:t>Row-Level Security (RLS)</w:t>
      </w:r>
      <w:r>
        <w:rPr>
          <w:rFonts w:ascii="Times New Roman" w:hAnsi="Times New Roman"/>
          <w:sz w:val="18"/>
        </w:rPr>
        <w:t>.</w:t>
      </w:r>
    </w:p>
    <w:p>
      <w:pPr>
        <w:pStyle w:val="ListBullet"/>
        <w:spacing w:before="10" w:after="20" w:line="252" w:lineRule="auto"/>
        <w:ind w:left="317"/>
      </w:pPr>
      <w:r>
        <w:rPr>
          <w:rFonts w:ascii="Times New Roman" w:hAnsi="Times New Roman"/>
          <w:sz w:val="18"/>
        </w:rPr>
        <w:t xml:space="preserve">Synchronized </w:t>
      </w:r>
      <w:r>
        <w:rPr>
          <w:rFonts w:ascii="Times New Roman" w:hAnsi="Times New Roman"/>
          <w:b/>
          <w:sz w:val="18"/>
        </w:rPr>
        <w:t>827 game items</w:t>
      </w:r>
      <w:r>
        <w:rPr>
          <w:rFonts w:ascii="Times New Roman" w:hAnsi="Times New Roman"/>
          <w:sz w:val="18"/>
        </w:rPr>
        <w:t xml:space="preserve"> and multi-tier crafting dependencies via </w:t>
      </w:r>
      <w:r>
        <w:rPr>
          <w:rFonts w:ascii="Times New Roman" w:hAnsi="Times New Roman"/>
          <w:b/>
          <w:sz w:val="18"/>
        </w:rPr>
        <w:t>RESTful APIs</w:t>
      </w:r>
      <w:r>
        <w:rPr>
          <w:rFonts w:ascii="Times New Roman" w:hAnsi="Times New Roman"/>
          <w:sz w:val="18"/>
        </w:rPr>
        <w:t xml:space="preserve">; managed under </w:t>
      </w:r>
      <w:r>
        <w:rPr>
          <w:rFonts w:ascii="Times New Roman" w:hAnsi="Times New Roman"/>
          <w:b/>
          <w:sz w:val="18"/>
        </w:rPr>
        <w:t>Git / GitHub</w:t>
      </w:r>
      <w:r>
        <w:rPr>
          <w:rFonts w:ascii="Times New Roman" w:hAnsi="Times New Roman"/>
          <w:sz w:val="18"/>
        </w:rPr>
        <w:t xml:space="preserve"> and deployed live on </w:t>
      </w:r>
      <w:r>
        <w:rPr>
          <w:rFonts w:ascii="Times New Roman" w:hAnsi="Times New Roman"/>
          <w:b/>
          <w:sz w:val="18"/>
        </w:rPr>
        <w:t>Netlify</w:t>
      </w:r>
      <w:r>
        <w:rPr>
          <w:rFonts w:ascii="Times New Roman" w:hAnsi="Times New Roman"/>
          <w:sz w:val="18"/>
        </w:rPr>
        <w:t xml:space="preserve"> (growmass-planner.netlify.app) with personal inventory stock deduction.</w:t>
      </w:r>
    </w:p>
    <w:p>
      <w:pPr>
        <w:tabs>
          <w:tab w:pos="10512" w:val="right"/>
        </w:tabs>
        <w:spacing w:before="50" w:after="0"/>
      </w:pPr>
      <w:r>
        <w:rPr>
          <w:rFonts w:ascii="Times New Roman" w:hAnsi="Times New Roman"/>
          <w:b/>
          <w:i w:val="0"/>
          <w:sz w:val="19"/>
        </w:rPr>
        <w:t>Global Bike Retail Seasonal Demand &amp; Revenue Optimization | Tableau Desktop</w:t>
      </w:r>
      <w:r>
        <w:tab/>
      </w:r>
      <w:r>
        <w:rPr>
          <w:rFonts w:ascii="Times New Roman" w:hAnsi="Times New Roman"/>
          <w:b w:val="0"/>
          <w:i w:val="0"/>
          <w:sz w:val="19"/>
        </w:rPr>
        <w:t>2025</w:t>
      </w:r>
    </w:p>
    <w:p>
      <w:pPr>
        <w:pStyle w:val="ListBullet"/>
        <w:spacing w:before="10" w:after="20" w:line="252" w:lineRule="auto"/>
        <w:ind w:left="317"/>
      </w:pPr>
      <w:r>
        <w:rPr>
          <w:rFonts w:ascii="Times New Roman" w:hAnsi="Times New Roman"/>
          <w:sz w:val="18"/>
        </w:rPr>
        <w:t xml:space="preserve">Cleaned and transformed </w:t>
      </w:r>
      <w:r>
        <w:rPr>
          <w:rFonts w:ascii="Times New Roman" w:hAnsi="Times New Roman"/>
          <w:b/>
          <w:sz w:val="18"/>
        </w:rPr>
        <w:t>113,000+ retail transaction records</w:t>
      </w:r>
      <w:r>
        <w:rPr>
          <w:rFonts w:ascii="Times New Roman" w:hAnsi="Times New Roman"/>
          <w:sz w:val="18"/>
        </w:rPr>
        <w:t xml:space="preserve"> into an executive </w:t>
      </w:r>
      <w:r>
        <w:rPr>
          <w:rFonts w:ascii="Times New Roman" w:hAnsi="Times New Roman"/>
          <w:b/>
          <w:sz w:val="18"/>
        </w:rPr>
        <w:t>Data Visualization</w:t>
      </w:r>
      <w:r>
        <w:rPr>
          <w:rFonts w:ascii="Times New Roman" w:hAnsi="Times New Roman"/>
          <w:sz w:val="18"/>
        </w:rPr>
        <w:t xml:space="preserve"> dashboard driving inventory planning and demand forecasting.</w:t>
      </w:r>
    </w:p>
    <w:p>
      <w:pPr>
        <w:pStyle w:val="ListBullet"/>
        <w:spacing w:before="10" w:after="20" w:line="252" w:lineRule="auto"/>
        <w:ind w:left="317"/>
      </w:pPr>
      <w:r>
        <w:rPr>
          <w:rFonts w:ascii="Times New Roman" w:hAnsi="Times New Roman"/>
          <w:sz w:val="18"/>
        </w:rPr>
        <w:t>Designed interactive Tableau reporting dashboards uncovering seasonal peaks (</w:t>
      </w:r>
      <w:r>
        <w:rPr>
          <w:rFonts w:ascii="Times New Roman" w:hAnsi="Times New Roman"/>
          <w:b/>
          <w:sz w:val="18"/>
        </w:rPr>
        <w:t>$85.27M revenue</w:t>
      </w:r>
      <w:r>
        <w:rPr>
          <w:rFonts w:ascii="Times New Roman" w:hAnsi="Times New Roman"/>
          <w:sz w:val="18"/>
        </w:rPr>
        <w:t xml:space="preserve">, </w:t>
      </w:r>
      <w:r>
        <w:rPr>
          <w:rFonts w:ascii="Times New Roman" w:hAnsi="Times New Roman"/>
          <w:b/>
          <w:sz w:val="18"/>
        </w:rPr>
        <w:t>$32.22M gross profit</w:t>
      </w:r>
      <w:r>
        <w:rPr>
          <w:rFonts w:ascii="Times New Roman" w:hAnsi="Times New Roman"/>
          <w:sz w:val="18"/>
        </w:rPr>
        <w:t>), formulating data-backed inventory restocking strategies to mitigate stockouts.</w:t>
      </w:r>
    </w:p>
    <w:p>
      <w:pPr>
        <w:spacing w:before="120" w:after="50"/>
        <w:pBdr>
          <w:bottom w:val="single" w:sz="6" w:space="1" w:color="333333"/>
        </w:pBdr>
      </w:pPr>
      <w:r>
        <w:rPr>
          <w:rFonts w:ascii="Times New Roman" w:hAnsi="Times New Roman"/>
          <w:b/>
          <w:color w:val="000000"/>
          <w:sz w:val="21"/>
        </w:rPr>
        <w:t>EXPERIENCE &amp; LEADERSHIP</w:t>
      </w:r>
    </w:p>
    <w:p>
      <w:pPr>
        <w:tabs>
          <w:tab w:pos="10512" w:val="right"/>
        </w:tabs>
        <w:spacing w:before="40" w:after="0"/>
      </w:pPr>
      <w:r>
        <w:rPr>
          <w:rFonts w:ascii="Times New Roman" w:hAnsi="Times New Roman"/>
          <w:b/>
          <w:i w:val="0"/>
          <w:sz w:val="19"/>
        </w:rPr>
        <w:t>Nasi Tim Mimi</w:t>
      </w:r>
      <w:r>
        <w:tab/>
      </w:r>
      <w:r>
        <w:rPr>
          <w:rFonts w:ascii="Times New Roman" w:hAnsi="Times New Roman"/>
          <w:b w:val="0"/>
          <w:i w:val="0"/>
          <w:sz w:val="19"/>
        </w:rPr>
        <w:t>Jakarta, Indonesia</w:t>
      </w:r>
    </w:p>
    <w:p>
      <w:pPr>
        <w:tabs>
          <w:tab w:pos="10512" w:val="right"/>
        </w:tabs>
        <w:spacing w:before="0" w:after="0"/>
      </w:pPr>
      <w:r>
        <w:rPr>
          <w:rFonts w:ascii="Times New Roman" w:hAnsi="Times New Roman"/>
          <w:b w:val="0"/>
          <w:i/>
          <w:sz w:val="19"/>
        </w:rPr>
        <w:t>Digital Merchant Onboarding &amp; Operations</w:t>
      </w:r>
      <w:r>
        <w:tab/>
      </w:r>
      <w:r>
        <w:rPr>
          <w:rFonts w:ascii="Times New Roman" w:hAnsi="Times New Roman"/>
          <w:b w:val="0"/>
          <w:i/>
          <w:sz w:val="19"/>
        </w:rPr>
        <w:t>2019 – Present</w:t>
      </w:r>
    </w:p>
    <w:p>
      <w:pPr>
        <w:pStyle w:val="ListBullet"/>
        <w:spacing w:before="10" w:after="20" w:line="252" w:lineRule="auto"/>
        <w:ind w:left="317"/>
      </w:pPr>
      <w:r>
        <w:rPr>
          <w:rFonts w:ascii="Times New Roman" w:hAnsi="Times New Roman"/>
          <w:sz w:val="18"/>
        </w:rPr>
        <w:t>Spearheaded digital transformation for family business by registering, onboarding, and configuring store operations across online food delivery platforms (</w:t>
      </w:r>
      <w:r>
        <w:rPr>
          <w:rFonts w:ascii="Times New Roman" w:hAnsi="Times New Roman"/>
          <w:b/>
          <w:sz w:val="18"/>
        </w:rPr>
        <w:t>GoFood, GrabFood, ShopeeFood</w:t>
      </w:r>
      <w:r>
        <w:rPr>
          <w:rFonts w:ascii="Times New Roman" w:hAnsi="Times New Roman"/>
          <w:sz w:val="18"/>
        </w:rPr>
        <w:t>).</w:t>
      </w:r>
    </w:p>
    <w:p>
      <w:pPr>
        <w:pStyle w:val="ListBullet"/>
        <w:spacing w:before="10" w:after="20" w:line="252" w:lineRule="auto"/>
        <w:ind w:left="317"/>
      </w:pPr>
      <w:r>
        <w:rPr>
          <w:rFonts w:ascii="Times New Roman" w:hAnsi="Times New Roman"/>
          <w:sz w:val="18"/>
        </w:rPr>
        <w:t>Managed online catalog listings, promotional pricing strategies, and high-volume order fulfillment during peak operating hours, expanding digital customer reach.</w:t>
      </w:r>
    </w:p>
    <w:p>
      <w:pPr>
        <w:pStyle w:val="ListBullet"/>
        <w:spacing w:before="10" w:after="20" w:line="252" w:lineRule="auto"/>
        <w:ind w:left="317"/>
      </w:pPr>
      <w:r>
        <w:rPr>
          <w:rFonts w:ascii="Times New Roman" w:hAnsi="Times New Roman"/>
          <w:sz w:val="18"/>
        </w:rPr>
        <w:t>Delivered direct frontline customer service and managed daily order packaging, improving delivery handoff speed and order accuracy.</w:t>
      </w:r>
    </w:p>
    <w:p>
      <w:pPr>
        <w:tabs>
          <w:tab w:pos="10512" w:val="right"/>
        </w:tabs>
        <w:spacing w:before="50" w:after="0"/>
      </w:pPr>
      <w:r>
        <w:rPr>
          <w:rFonts w:ascii="Times New Roman" w:hAnsi="Times New Roman"/>
          <w:b/>
          <w:i w:val="0"/>
          <w:sz w:val="19"/>
        </w:rPr>
        <w:t>EVOKE Olympus Event Committee</w:t>
      </w:r>
      <w:r>
        <w:tab/>
      </w:r>
      <w:r>
        <w:rPr>
          <w:rFonts w:ascii="Times New Roman" w:hAnsi="Times New Roman"/>
          <w:b w:val="0"/>
          <w:i w:val="0"/>
          <w:sz w:val="19"/>
        </w:rPr>
        <w:t>Jakarta, Indonesia</w:t>
      </w:r>
    </w:p>
    <w:p>
      <w:pPr>
        <w:tabs>
          <w:tab w:pos="10512" w:val="right"/>
        </w:tabs>
        <w:spacing w:before="0" w:after="0"/>
      </w:pPr>
      <w:r>
        <w:rPr>
          <w:rFonts w:ascii="Times New Roman" w:hAnsi="Times New Roman"/>
          <w:b w:val="0"/>
          <w:i/>
          <w:sz w:val="19"/>
        </w:rPr>
        <w:t>Logistics &amp; Equipment Division (Perkap)</w:t>
      </w:r>
      <w:r>
        <w:tab/>
      </w:r>
      <w:r>
        <w:rPr>
          <w:rFonts w:ascii="Times New Roman" w:hAnsi="Times New Roman"/>
          <w:b w:val="0"/>
          <w:i/>
          <w:sz w:val="19"/>
        </w:rPr>
        <w:t>2023</w:t>
      </w:r>
    </w:p>
    <w:p>
      <w:pPr>
        <w:pStyle w:val="ListBullet"/>
        <w:spacing w:before="10" w:after="20" w:line="252" w:lineRule="auto"/>
        <w:ind w:left="317"/>
      </w:pPr>
      <w:r>
        <w:rPr>
          <w:rFonts w:ascii="Times New Roman" w:hAnsi="Times New Roman"/>
          <w:sz w:val="18"/>
        </w:rPr>
        <w:t>Coordinated end-to-end stage equipment procurement, inventory tracking, and field layout setups under strict event production schedules.</w:t>
      </w:r>
    </w:p>
    <w:p>
      <w:pPr>
        <w:pStyle w:val="ListBullet"/>
        <w:spacing w:before="10" w:after="20" w:line="252" w:lineRule="auto"/>
        <w:ind w:left="317"/>
      </w:pPr>
      <w:r>
        <w:rPr>
          <w:rFonts w:ascii="Times New Roman" w:hAnsi="Times New Roman"/>
          <w:sz w:val="18"/>
        </w:rPr>
        <w:t>Collaborated with 5+ cross-functional committee divisions to rapidly resolve unexpected on-site logistical hurdles, ensuring seamless multi-day event execution.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0" w:before="0"/>
    </w:pPr>
    <w:rPr>
      <w:rFonts w:ascii="Times New Roman" w:hAnsi="Times New Roman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