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济宁市兖州区惠民城建投资有限公司</w:t>
      </w:r>
    </w:p>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非公开发行公司债券项目</w:t>
      </w:r>
    </w:p>
    <w:p>
      <w:pPr>
        <w:spacing w:line="360" w:lineRule="auto" w:after="80"/>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立项申请报告</w:t>
      </w:r>
      <w:ins w:id="2" w:author="冯佳淇" w:date="2026-08-28T08:00:00Z">
        <w:r>
          <w:rPr>
            <w:rFonts w:ascii="仿宋_GB2312" w:hAnsi="仿宋_GB2312" w:eastAsia="仿宋_GB2312" w:cs="仿宋_GB2312"/>
            <w:sz w:val="36"/>
            <w:szCs w:val="36"/>
            <w:b/>
          </w:rPr>
          <w:t xml:space="preserve">（根据募集说明书修订）</w:t>
        </w:r>
      </w:ins>
    </w:p>
    <w:p>
      <w:pPr>
        <w:spacing w:line="360" w:lineRule="auto" w:after="80"/>
        <w:rPr>
          <w:rFonts w:ascii="仿宋_GB2312" w:hAnsi="仿宋_GB2312" w:eastAsia="仿宋_GB2312" w:cs="仿宋_GB2312"/>
          <w:sz w:val="24"/>
          <w:szCs w:val="24"/>
        </w:rPr>
      </w:pPr>
      <w:r>
        <w:rPr>
          <w:rFonts w:ascii="仿宋_GB2312" w:hAnsi="仿宋_GB2312" w:eastAsia="仿宋_GB2312" w:cs="仿宋_GB2312"/>
          <w:sz w:val="24"/>
          <w:szCs w:val="24"/>
        </w:rPr>
        <w:t xml:space="preserve">所属部组：企业融资部    提交时间：</w:t>
      </w:r>
      <w:del w:id="3" w:author="冯佳淇" w:date="2026-08-28T08:00:00Z">
        <w:r>
          <w:rPr>
            <w:rFonts w:ascii="仿宋_GB2312" w:hAnsi="仿宋_GB2312" w:eastAsia="仿宋_GB2312" w:cs="仿宋_GB2312"/>
            <w:sz w:val="24"/>
            <w:szCs w:val="24"/>
          </w:rPr>
          <w:delText xml:space="preserve">2026年5月13日</w:delText>
        </w:r>
      </w:del>
      <w:ins w:id="4" w:author="冯佳淇" w:date="2026-08-28T08:00:00Z">
        <w:r>
          <w:rPr>
            <w:rFonts w:ascii="仿宋_GB2312" w:hAnsi="仿宋_GB2312" w:eastAsia="仿宋_GB2312" w:cs="仿宋_GB2312"/>
            <w:sz w:val="24"/>
            <w:szCs w:val="24"/>
          </w:rPr>
          <w:t xml:space="preserve">2026年8月28日</w:t>
        </w:r>
      </w:ins>
      <w:ins w:id="5" w:author="冯佳淇" w:date="2026-08-28T08:00:00Z">
        <w:r>
          <w:rPr>
            <w:rFonts w:ascii="仿宋_GB2312" w:hAnsi="仿宋_GB2312" w:eastAsia="仿宋_GB2312" w:cs="仿宋_GB2312"/>
            <w:sz w:val="24"/>
            <w:szCs w:val="24"/>
          </w:rPr>
          <w:t xml:space="preserve">（原提交日期2026年5月13日，本次按募集说明书更新）</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修订说明（本次新增）</w:t>
      </w:r>
    </w:p>
    <w:p>
      <w:pPr>
        <w:spacing w:line="360" w:lineRule="auto" w:after="80"/>
        <w:ind w:firstLine="420"/>
        <w:rPr>
          <w:rFonts w:ascii="仿宋_GB2312" w:hAnsi="仿宋_GB2312" w:eastAsia="仿宋_GB2312" w:cs="仿宋_GB2312"/>
          <w:sz w:val="24"/>
          <w:szCs w:val="24"/>
        </w:rPr>
      </w:pPr>
      <w:ins w:id="6" w:author="冯佳淇" w:date="2026-08-28T08:00:00Z">
        <w:r>
          <w:rPr>
            <w:rFonts w:ascii="仿宋_GB2312" w:hAnsi="仿宋_GB2312" w:eastAsia="仿宋_GB2312" w:cs="仿宋_GB2312"/>
            <w:sz w:val="24"/>
            <w:szCs w:val="24"/>
          </w:rPr>
          <w:t xml:space="preserve">报告期按募说释义调整为2024年度、2025年度及2026年1–6月；时点类表述一律改到最近一期，即截至2026年6月末。财务比较列示2024年、2025年、2026年1–6月（或各期末）。2026年1–6月报表未经审计。募说写【】或未披露的数字一律留空，不用2025年末数顶替。修订人：冯佳淇。</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一、客户名称</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济宁市兖州区惠民城建投资有限公司。</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二、项目类型</w:t>
      </w:r>
    </w:p>
    <w:p>
      <w:pPr>
        <w:spacing w:line="360" w:lineRule="auto" w:after="80"/>
        <w:ind w:firstLine="420"/>
        <w:rPr>
          <w:rFonts w:ascii="仿宋_GB2312" w:hAnsi="仿宋_GB2312" w:eastAsia="仿宋_GB2312" w:cs="仿宋_GB2312"/>
          <w:sz w:val="24"/>
          <w:szCs w:val="24"/>
        </w:rPr>
      </w:pPr>
      <w:del w:id="7" w:author="冯佳淇" w:date="2026-08-28T08:00:00Z">
        <w:r>
          <w:rPr>
            <w:rFonts w:ascii="仿宋_GB2312" w:hAnsi="仿宋_GB2312" w:eastAsia="仿宋_GB2312" w:cs="仿宋_GB2312"/>
            <w:sz w:val="24"/>
            <w:szCs w:val="24"/>
          </w:rPr>
          <w:delText xml:space="preserve">非公开发行债券。</w:delText>
        </w:r>
      </w:del>
      <w:ins w:id="8" w:author="冯佳淇" w:date="2026-08-28T08:00:00Z">
        <w:r>
          <w:rPr>
            <w:rFonts w:ascii="仿宋_GB2312" w:hAnsi="仿宋_GB2312" w:eastAsia="仿宋_GB2312" w:cs="仿宋_GB2312"/>
            <w:sz w:val="24"/>
            <w:szCs w:val="24"/>
          </w:rPr>
          <w:t xml:space="preserve">面向专业投资者非公开发行公司债券。</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三、公司角色</w:t>
      </w:r>
    </w:p>
    <w:p>
      <w:pPr>
        <w:spacing w:line="360" w:lineRule="auto" w:after="80"/>
        <w:ind w:firstLine="420"/>
        <w:rPr>
          <w:rFonts w:ascii="仿宋_GB2312" w:hAnsi="仿宋_GB2312" w:eastAsia="仿宋_GB2312" w:cs="仿宋_GB2312"/>
          <w:sz w:val="24"/>
          <w:szCs w:val="24"/>
        </w:rPr>
      </w:pPr>
      <w:del w:id="9" w:author="冯佳淇" w:date="2026-08-28T08:00:00Z">
        <w:r>
          <w:rPr>
            <w:rFonts w:ascii="仿宋_GB2312" w:hAnsi="仿宋_GB2312" w:eastAsia="仿宋_GB2312" w:cs="仿宋_GB2312"/>
            <w:sz w:val="24"/>
            <w:szCs w:val="24"/>
          </w:rPr>
          <w:delText xml:space="preserve">主承销商、受托管理人。</w:delText>
        </w:r>
      </w:del>
      <w:ins w:id="10" w:author="冯佳淇" w:date="2026-08-28T08:00:00Z">
        <w:r>
          <w:rPr>
            <w:rFonts w:ascii="仿宋_GB2312" w:hAnsi="仿宋_GB2312" w:eastAsia="仿宋_GB2312" w:cs="仿宋_GB2312"/>
            <w:sz w:val="24"/>
            <w:szCs w:val="24"/>
          </w:rPr>
          <w:t xml:space="preserve">联席主承销商、受托管理人、簿记管理人（甬兴证券有限公司）；德邦证券股份有限公司为联席主承销商。</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四、承销方式</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本次债券由主承销商以余额包销的方式承销。</w:t>
      </w:r>
      <w:ins w:id="11" w:author="冯佳淇" w:date="2026-08-28T08:00:00Z">
        <w:r>
          <w:rPr>
            <w:rFonts w:ascii="仿宋_GB2312" w:hAnsi="仿宋_GB2312" w:eastAsia="仿宋_GB2312" w:cs="仿宋_GB2312"/>
            <w:sz w:val="24"/>
            <w:szCs w:val="24"/>
          </w:rPr>
          <w:t xml:space="preserve">发行方式为簿记建档发行。</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五、是否构成关联交易项目</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否。</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六、是否存在聘请第三方中介机构的情形</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否。</w:t>
      </w:r>
      <w:ins w:id="12" w:author="冯佳淇" w:date="2026-08-28T08:00:00Z">
        <w:r>
          <w:rPr>
            <w:rFonts w:ascii="仿宋_GB2312" w:hAnsi="仿宋_GB2312" w:eastAsia="仿宋_GB2312" w:cs="仿宋_GB2312"/>
            <w:sz w:val="24"/>
            <w:szCs w:val="24"/>
          </w:rPr>
          <w:t xml:space="preserve">（发行人已聘请山东恒正律师事务所出具法律意见、山东舜天信诚会计师事务所审计；上述为债券申报法定中介，不属于承销商另聘第三方协助尽调。）</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七、项目主要条款设计</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1、发行主体：济宁市兖州区惠民城建投资有限公司。</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2、债券全称：</w:t>
      </w:r>
      <w:ins w:id="13" w:author="冯佳淇" w:date="2026-08-28T08:00:00Z">
        <w:r>
          <w:rPr>
            <w:rFonts w:ascii="仿宋_GB2312" w:hAnsi="仿宋_GB2312" w:eastAsia="仿宋_GB2312" w:cs="仿宋_GB2312"/>
            <w:sz w:val="24"/>
            <w:szCs w:val="24"/>
          </w:rPr>
          <w:t xml:space="preserve">济宁市兖州区惠民城建投资有限公司2026年面向专业投资者非公开发行公司债券。</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3、发行规模：本次债券</w:t>
      </w:r>
      <w:del w:id="14" w:author="冯佳淇" w:date="2026-08-28T08:00:00Z">
        <w:r>
          <w:rPr>
            <w:rFonts w:ascii="仿宋_GB2312" w:hAnsi="仿宋_GB2312" w:eastAsia="仿宋_GB2312" w:cs="仿宋_GB2312"/>
            <w:sz w:val="24"/>
            <w:szCs w:val="24"/>
          </w:rPr>
          <w:delText xml:space="preserve">总规模</w:delText>
        </w:r>
      </w:del>
      <w:ins w:id="15" w:author="冯佳淇" w:date="2026-08-28T08:00:00Z">
        <w:r>
          <w:rPr>
            <w:rFonts w:ascii="仿宋_GB2312" w:hAnsi="仿宋_GB2312" w:eastAsia="仿宋_GB2312" w:cs="仿宋_GB2312"/>
            <w:sz w:val="24"/>
            <w:szCs w:val="24"/>
          </w:rPr>
          <w:t xml:space="preserve">发行总额</w:t>
        </w:r>
      </w:ins>
      <w:r>
        <w:rPr>
          <w:rFonts w:ascii="仿宋_GB2312" w:hAnsi="仿宋_GB2312" w:eastAsia="仿宋_GB2312" w:cs="仿宋_GB2312"/>
          <w:sz w:val="24"/>
          <w:szCs w:val="24"/>
        </w:rPr>
        <w:t xml:space="preserve">不超过6.78亿元（含6.78亿元）。</w:t>
      </w:r>
      <w:ins w:id="16" w:author="冯佳淇" w:date="2026-08-28T08:00:00Z">
        <w:r>
          <w:rPr>
            <w:rFonts w:ascii="仿宋_GB2312" w:hAnsi="仿宋_GB2312" w:eastAsia="仿宋_GB2312" w:cs="仿宋_GB2312"/>
            <w:sz w:val="24"/>
            <w:szCs w:val="24"/>
          </w:rPr>
          <w:t xml:space="preserve">拟采取分期方式发行。挂牌转让场所为上海证券交易所。</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4、债券期限：本次债券期限不超过</w:t>
      </w:r>
      <w:del w:id="17" w:author="冯佳淇" w:date="2026-08-28T08:00:00Z">
        <w:r>
          <w:rPr>
            <w:rFonts w:ascii="仿宋_GB2312" w:hAnsi="仿宋_GB2312" w:eastAsia="仿宋_GB2312" w:cs="仿宋_GB2312"/>
            <w:sz w:val="24"/>
            <w:szCs w:val="24"/>
          </w:rPr>
          <w:delText xml:space="preserve">10年（含10年），可为单一期限品种，也可为多种期限的混合品种。</w:delText>
        </w:r>
      </w:del>
      <w:ins w:id="18" w:author="冯佳淇" w:date="2026-08-28T08:00:00Z">
        <w:r>
          <w:rPr>
            <w:rFonts w:ascii="仿宋_GB2312" w:hAnsi="仿宋_GB2312" w:eastAsia="仿宋_GB2312" w:cs="仿宋_GB2312"/>
            <w:sz w:val="24"/>
            <w:szCs w:val="24"/>
          </w:rPr>
          <w:t xml:space="preserve">5年（含5年）。</w:t>
        </w:r>
      </w:ins>
      <w:ins w:id="19" w:author="冯佳淇" w:date="2026-08-28T08:00:00Z">
        <w:r>
          <w:rPr>
            <w:rFonts w:ascii="仿宋_GB2312" w:hAnsi="仿宋_GB2312" w:eastAsia="仿宋_GB2312" w:cs="仿宋_GB2312"/>
            <w:sz w:val="24"/>
            <w:szCs w:val="24"/>
          </w:rPr>
          <w:t xml:space="preserve">面值100元，按面值平价发行；固定利率，按年付息，到期一次还本。</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5、评级情况：公司主体评级AA+。</w:t>
      </w:r>
      <w:ins w:id="20" w:author="冯佳淇" w:date="2026-08-28T08:00:00Z">
        <w:r>
          <w:rPr>
            <w:rFonts w:ascii="仿宋_GB2312" w:hAnsi="仿宋_GB2312" w:eastAsia="仿宋_GB2312" w:cs="仿宋_GB2312"/>
            <w:sz w:val="24"/>
            <w:szCs w:val="24"/>
          </w:rPr>
          <w:t xml:space="preserve">经中证鹏元资信评估股份有限公司评定，评级展望为稳定（2024-10-30、2025-10-30均为AA+/稳定）；本次债券未评级。</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6、增信措施：无。</w:t>
      </w:r>
      <w:ins w:id="21" w:author="冯佳淇" w:date="2026-08-28T08:00:00Z">
        <w:r>
          <w:rPr>
            <w:rFonts w:ascii="仿宋_GB2312" w:hAnsi="仿宋_GB2312" w:eastAsia="仿宋_GB2312" w:cs="仿宋_GB2312"/>
            <w:sz w:val="24"/>
            <w:szCs w:val="24"/>
          </w:rPr>
          <w:t xml:space="preserve">本次债券不设定增信措施，为无担保债券。</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7、募集资金用途：本次债券募集资金扣除发行费用后，</w:t>
      </w:r>
      <w:del w:id="22" w:author="冯佳淇" w:date="2026-08-28T08:00:00Z">
        <w:r>
          <w:rPr>
            <w:rFonts w:ascii="仿宋_GB2312" w:hAnsi="仿宋_GB2312" w:eastAsia="仿宋_GB2312" w:cs="仿宋_GB2312"/>
            <w:sz w:val="24"/>
            <w:szCs w:val="24"/>
          </w:rPr>
          <w:delText xml:space="preserve">全部用于</w:delText>
        </w:r>
      </w:del>
      <w:ins w:id="23" w:author="冯佳淇" w:date="2026-08-28T08:00:00Z">
        <w:r>
          <w:rPr>
            <w:rFonts w:ascii="仿宋_GB2312" w:hAnsi="仿宋_GB2312" w:eastAsia="仿宋_GB2312" w:cs="仿宋_GB2312"/>
            <w:sz w:val="24"/>
            <w:szCs w:val="24"/>
          </w:rPr>
          <w:t xml:space="preserve">拟全部用于</w:t>
        </w:r>
      </w:ins>
      <w:r>
        <w:rPr>
          <w:rFonts w:ascii="仿宋_GB2312" w:hAnsi="仿宋_GB2312" w:eastAsia="仿宋_GB2312" w:cs="仿宋_GB2312"/>
          <w:sz w:val="24"/>
          <w:szCs w:val="24"/>
        </w:rPr>
        <w:t xml:space="preserve">偿还公司债券本金。</w:t>
      </w:r>
    </w:p>
    <w:p>
      <w:pPr>
        <w:spacing w:line="360" w:lineRule="auto" w:after="80"/>
        <w:ind w:firstLine="420"/>
        <w:rPr>
          <w:rFonts w:ascii="仿宋_GB2312" w:hAnsi="仿宋_GB2312" w:eastAsia="仿宋_GB2312" w:cs="仿宋_GB2312"/>
          <w:sz w:val="24"/>
          <w:szCs w:val="24"/>
        </w:rPr>
      </w:pPr>
      <w:ins w:id="24" w:author="冯佳淇" w:date="2026-08-28T08:00:00Z">
        <w:r>
          <w:rPr>
            <w:rFonts w:ascii="仿宋_GB2312" w:hAnsi="仿宋_GB2312" w:eastAsia="仿宋_GB2312" w:cs="仿宋_GB2312"/>
            <w:sz w:val="24"/>
            <w:szCs w:val="24"/>
          </w:rPr>
          <w:t xml:space="preserve">8、主承销商：甬兴证券有限公司、德邦证券股份有限公司。受托管理人、簿记管理人：甬兴证券有限公司。发行对象为专业投资者，每次发行对象不超过二百人。认购人不可进行债券质押式回购。</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八、发行人背景</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发行人概况（基本信息、沿革与原立项一致，本次不改）：中文名称济宁市兖州区惠民城建投资有限公司；法定代表人赵文广；注册资本及实缴资本人民币370,117.51万元；成立日期2002年6月24日；注册/办公地址济宁市兖州区建设西路（牛旺地质家园西邻）；统一社会信用代码91370882740225002D；控股股东济宁市济东投资发展集团有限公司（100%）；实际控制人济宁市兖州区国有资产监督管理局。</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2、发行人有息债务情况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最近两年及一期末，发行人有息负债余额分别为265.78亿元、</w:t>
      </w:r>
      <w:del w:id="25" w:author="冯佳淇" w:date="2026-08-28T08:00:00Z">
        <w:r>
          <w:rPr>
            <w:rFonts w:ascii="仿宋_GB2312" w:hAnsi="仿宋_GB2312" w:eastAsia="仿宋_GB2312" w:cs="仿宋_GB2312"/>
            <w:sz w:val="24"/>
            <w:szCs w:val="24"/>
          </w:rPr>
          <w:delText xml:space="preserve">251.47亿元</w:delText>
        </w:r>
      </w:del>
      <w:ins w:id="26" w:author="冯佳淇" w:date="2026-08-28T08:00:00Z">
        <w:r>
          <w:rPr>
            <w:rFonts w:ascii="仿宋_GB2312" w:hAnsi="仿宋_GB2312" w:eastAsia="仿宋_GB2312" w:cs="仿宋_GB2312"/>
            <w:sz w:val="24"/>
            <w:szCs w:val="24"/>
          </w:rPr>
          <w:t xml:space="preserve">246.20亿元和231.99亿元</w:t>
        </w:r>
      </w:ins>
      <w:r>
        <w:rPr>
          <w:rFonts w:ascii="仿宋_GB2312" w:hAnsi="仿宋_GB2312" w:eastAsia="仿宋_GB2312" w:cs="仿宋_GB2312"/>
          <w:sz w:val="24"/>
          <w:szCs w:val="24"/>
        </w:rPr>
        <w:t xml:space="preserve">，占同期末总负债的比例分别为66.59%、</w:t>
      </w:r>
      <w:del w:id="27" w:author="冯佳淇" w:date="2026-08-28T08:00:00Z">
        <w:r>
          <w:rPr>
            <w:rFonts w:ascii="仿宋_GB2312" w:hAnsi="仿宋_GB2312" w:eastAsia="仿宋_GB2312" w:cs="仿宋_GB2312"/>
            <w:sz w:val="24"/>
            <w:szCs w:val="24"/>
          </w:rPr>
          <w:delText xml:space="preserve">70.00%</w:delText>
        </w:r>
      </w:del>
      <w:ins w:id="28" w:author="冯佳淇" w:date="2026-08-28T08:00:00Z">
        <w:r>
          <w:rPr>
            <w:rFonts w:ascii="仿宋_GB2312" w:hAnsi="仿宋_GB2312" w:eastAsia="仿宋_GB2312" w:cs="仿宋_GB2312"/>
            <w:sz w:val="24"/>
            <w:szCs w:val="24"/>
          </w:rPr>
          <w:t xml:space="preserve">68.54%和63.86%</w:t>
        </w:r>
      </w:ins>
      <w:r>
        <w:rPr>
          <w:rFonts w:ascii="仿宋_GB2312" w:hAnsi="仿宋_GB2312" w:eastAsia="仿宋_GB2312" w:cs="仿宋_GB2312"/>
          <w:sz w:val="24"/>
          <w:szCs w:val="24"/>
        </w:rPr>
        <w:t xml:space="preserve">。</w:t>
      </w:r>
      <w:ins w:id="29" w:author="冯佳淇" w:date="2026-08-28T08:00:00Z">
        <w:r>
          <w:rPr>
            <w:rFonts w:ascii="仿宋_GB2312" w:hAnsi="仿宋_GB2312" w:eastAsia="仿宋_GB2312" w:cs="仿宋_GB2312"/>
            <w:sz w:val="24"/>
            <w:szCs w:val="24"/>
          </w:rPr>
          <w:t xml:space="preserve">截至2026年6月末，短期借款与一年内到期的非流动负债合计118.15亿元，占期末有息债务50.93%。银行贷款、非标等分项募说2025年末及2026年6月末多为未填，立项留空，不以原立项分项顶替。</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3、发行人银行授信情况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截至</w:t>
      </w:r>
      <w:del w:id="30" w:author="冯佳淇" w:date="2026-08-28T08:00:00Z">
        <w:r>
          <w:rPr>
            <w:rFonts w:ascii="仿宋_GB2312" w:hAnsi="仿宋_GB2312" w:eastAsia="仿宋_GB2312" w:cs="仿宋_GB2312"/>
            <w:sz w:val="24"/>
            <w:szCs w:val="24"/>
          </w:rPr>
          <w:delText xml:space="preserve">2025年末，发行人在各金融机构的授信额度总额为622,700.00万元，其中已使用额度为355,661.66万元，剩余授信余额为267,038.34万元。</w:delText>
        </w:r>
      </w:del>
      <w:ins w:id="31" w:author="冯佳淇" w:date="2026-08-28T08:00:00Z">
        <w:r>
          <w:rPr>
            <w:rFonts w:ascii="仿宋_GB2312" w:hAnsi="仿宋_GB2312" w:eastAsia="仿宋_GB2312" w:cs="仿宋_GB2312"/>
            <w:sz w:val="24"/>
            <w:szCs w:val="24"/>
          </w:rPr>
          <w:t xml:space="preserve">2026年6月末，发行人在各金融机构的授信额度总额为　　万元，其中已使用额度为　　万元，剩余授信余额为　　万元。</w:t>
        </w:r>
      </w:ins>
      <w:ins w:id="32" w:author="冯佳淇" w:date="2026-08-28T08:00:00Z">
        <w:r>
          <w:rPr>
            <w:rFonts w:ascii="仿宋_GB2312" w:hAnsi="仿宋_GB2312" w:eastAsia="仿宋_GB2312" w:cs="仿宋_GB2312"/>
            <w:sz w:val="24"/>
            <w:szCs w:val="24"/>
          </w:rPr>
          <w:t xml:space="preserve">募说该时点未填数字，留空。募说偿债章节另列有2025年末授信56.37亿元、已用50.11亿元、剩余6.26亿元，与风险章节最新时点【】不一致，立项不以2025年末数作为最新时点。</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4、发行人对外担保情况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截至</w:t>
      </w:r>
      <w:del w:id="33" w:author="冯佳淇" w:date="2026-08-28T08:00:00Z">
        <w:r>
          <w:rPr>
            <w:rFonts w:ascii="仿宋_GB2312" w:hAnsi="仿宋_GB2312" w:eastAsia="仿宋_GB2312" w:cs="仿宋_GB2312"/>
            <w:sz w:val="24"/>
            <w:szCs w:val="24"/>
          </w:rPr>
          <w:delText xml:space="preserve">2025年末，公司对外担保合计金额为549,656.68万元，占净资产的比例为19.27%。</w:delText>
        </w:r>
      </w:del>
      <w:ins w:id="34" w:author="冯佳淇" w:date="2026-08-28T08:00:00Z">
        <w:r>
          <w:rPr>
            <w:rFonts w:ascii="仿宋_GB2312" w:hAnsi="仿宋_GB2312" w:eastAsia="仿宋_GB2312" w:cs="仿宋_GB2312"/>
            <w:sz w:val="24"/>
            <w:szCs w:val="24"/>
          </w:rPr>
          <w:t xml:space="preserve">2026年6月末，公司对外担保合计金额为577,030.99万元，占净资产的比例为20.31%。</w:t>
        </w:r>
      </w:ins>
      <w:ins w:id="35" w:author="冯佳淇" w:date="2026-08-28T08:00:00Z">
        <w:r>
          <w:rPr>
            <w:rFonts w:ascii="仿宋_GB2312" w:hAnsi="仿宋_GB2312" w:eastAsia="仿宋_GB2312" w:cs="仿宋_GB2312"/>
            <w:sz w:val="24"/>
            <w:szCs w:val="24"/>
          </w:rPr>
          <w:t xml:space="preserve">担保对象主要为济宁市兖州区融通投资有限公司、济宁市济东投资发展集团有限公司等。</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5、发行人受限资产情况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截至</w:t>
      </w:r>
      <w:del w:id="36" w:author="冯佳淇" w:date="2026-08-28T08:00:00Z">
        <w:r>
          <w:rPr>
            <w:rFonts w:ascii="仿宋_GB2312" w:hAnsi="仿宋_GB2312" w:eastAsia="仿宋_GB2312" w:cs="仿宋_GB2312"/>
            <w:sz w:val="24"/>
            <w:szCs w:val="24"/>
          </w:rPr>
          <w:delText xml:space="preserve">2025年末，公司受限资产合计为65.91亿元，占净资产的比例为23.11%。</w:delText>
        </w:r>
      </w:del>
      <w:ins w:id="37" w:author="冯佳淇" w:date="2026-08-28T08:00:00Z">
        <w:r>
          <w:rPr>
            <w:rFonts w:ascii="仿宋_GB2312" w:hAnsi="仿宋_GB2312" w:eastAsia="仿宋_GB2312" w:cs="仿宋_GB2312"/>
            <w:sz w:val="24"/>
            <w:szCs w:val="24"/>
          </w:rPr>
          <w:t xml:space="preserve">2026年6月末，公司受限资产金额为　　亿元，占净资产的比例为　　%。</w:t>
        </w:r>
      </w:ins>
      <w:ins w:id="38" w:author="冯佳淇" w:date="2026-08-28T08:00:00Z">
        <w:r>
          <w:rPr>
            <w:rFonts w:ascii="仿宋_GB2312" w:hAnsi="仿宋_GB2312" w:eastAsia="仿宋_GB2312" w:cs="仿宋_GB2312"/>
            <w:sz w:val="24"/>
            <w:szCs w:val="24"/>
          </w:rPr>
          <w:t xml:space="preserve">募说该时点未填，留空。2025年末曾披露65.91亿元、占净资产23.11%，不作为最新时点。</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6、关联往来及或有负债</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截至</w:t>
      </w:r>
      <w:del w:id="39" w:author="冯佳淇" w:date="2026-08-28T08:00:00Z">
        <w:r>
          <w:rPr>
            <w:rFonts w:ascii="仿宋_GB2312" w:hAnsi="仿宋_GB2312" w:eastAsia="仿宋_GB2312" w:cs="仿宋_GB2312"/>
            <w:sz w:val="24"/>
            <w:szCs w:val="24"/>
          </w:rPr>
          <w:delText xml:space="preserve">2025年末，发行人其他应收款账面价值为1,815,433.09万元，其中非经营性其他应收款56,623.93万元。</w:delText>
        </w:r>
      </w:del>
      <w:ins w:id="40" w:author="冯佳淇" w:date="2026-08-28T08:00:00Z">
        <w:r>
          <w:rPr>
            <w:rFonts w:ascii="仿宋_GB2312" w:hAnsi="仿宋_GB2312" w:eastAsia="仿宋_GB2312" w:cs="仿宋_GB2312"/>
            <w:sz w:val="24"/>
            <w:szCs w:val="24"/>
          </w:rPr>
          <w:t xml:space="preserve">2026年6月末，发行人其他应收款账面价值为1,662,716.11万元，其中非经营性其他应收款账面价值为　　万元，占比　　。</w:t>
        </w:r>
      </w:ins>
      <w:ins w:id="41" w:author="冯佳淇" w:date="2026-08-28T08:00:00Z">
        <w:r>
          <w:rPr>
            <w:rFonts w:ascii="仿宋_GB2312" w:hAnsi="仿宋_GB2312" w:eastAsia="仿宋_GB2312" w:cs="仿宋_GB2312"/>
            <w:sz w:val="24"/>
            <w:szCs w:val="24"/>
          </w:rPr>
          <w:t xml:space="preserve">非经营性金额募说未填，留空。截至同日不存在重大未决诉讼、仲裁。</w:t>
        </w:r>
      </w:ins>
    </w:p>
    <w:p>
      <w:pPr>
        <w:spacing w:line="360" w:lineRule="auto" w:after="80"/>
        <w:ind w:firstLine="420"/>
        <w:rPr>
          <w:rFonts w:ascii="仿宋_GB2312" w:hAnsi="仿宋_GB2312" w:eastAsia="仿宋_GB2312" w:cs="仿宋_GB2312"/>
          <w:sz w:val="24"/>
          <w:szCs w:val="24"/>
        </w:rPr>
      </w:pPr>
      <w:ins w:id="42" w:author="冯佳淇" w:date="2026-08-28T08:00:00Z">
        <w:r>
          <w:rPr>
            <w:rFonts w:ascii="仿宋_GB2312" w:hAnsi="仿宋_GB2312" w:eastAsia="仿宋_GB2312" w:cs="仿宋_GB2312"/>
            <w:sz w:val="24"/>
            <w:szCs w:val="24"/>
          </w:rPr>
          <w:t xml:space="preserve">截至2026年6月末，政府性应收款中应收账款1,816,408.62万元、其他应收款676,091.96万元，合计2,492,500.58万元。占扣除重点关注资产后净资产比例募说未填，留空。</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7、发行人业务情况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2024年、2025年和2026年1–6月，发行人营业收入分别为533,548.93万元、342,590.80万元和102,774.90万元。市政工程分别为200,200.00万元（占37.52%）、207,154.56万元（占60.47%）和90,742.48万元（占88.29%）；商品销售分别为299,048.06万元（占56.05%）、49,730.46万元（占14.52%）和8,019.50万元（占7.80%）；转让土地使用权分别为4,282.30万元（占0.80%）、57,102.71万元（占16.67%）和0万元。</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8、发行人子公司情况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截至</w:t>
      </w:r>
      <w:del w:id="43" w:author="冯佳淇" w:date="2026-08-28T08:00:00Z">
        <w:r>
          <w:rPr>
            <w:rFonts w:ascii="仿宋_GB2312" w:hAnsi="仿宋_GB2312" w:eastAsia="仿宋_GB2312" w:cs="仿宋_GB2312"/>
            <w:sz w:val="24"/>
            <w:szCs w:val="24"/>
          </w:rPr>
          <w:delText xml:space="preserve">2025年末，发行人纳入合并范围的下属子公司有9家，其中一级子公司4家，二级子公司5家。</w:delText>
        </w:r>
      </w:del>
      <w:ins w:id="44" w:author="冯佳淇" w:date="2026-08-28T08:00:00Z">
        <w:r>
          <w:rPr>
            <w:rFonts w:ascii="仿宋_GB2312" w:hAnsi="仿宋_GB2312" w:eastAsia="仿宋_GB2312" w:cs="仿宋_GB2312"/>
            <w:sz w:val="24"/>
            <w:szCs w:val="24"/>
          </w:rPr>
          <w:t xml:space="preserve">2026年6月末，发行人纳入合并报表范围的子公司为10家（一级4家）。相较2025年末9家，划入融科供应链、惠园工投招商，划出惠民均和。</w:t>
        </w:r>
      </w:ins>
      <w:ins w:id="45" w:author="冯佳淇" w:date="2026-08-28T08:00:00Z">
        <w:r>
          <w:rPr>
            <w:rFonts w:ascii="仿宋_GB2312" w:hAnsi="仿宋_GB2312" w:eastAsia="仿宋_GB2312" w:cs="仿宋_GB2312"/>
            <w:sz w:val="24"/>
            <w:szCs w:val="24"/>
          </w:rPr>
          <w:t xml:space="preserve">募说风险章节另写“8家”，与合并范围变动表及10家名单不一致，立项以财务报表范围变化（10家）为准。重要子公司仅惠丰产业。惠丰产业2026年1–6月财务募说未披露，留空；2025年末总资产2,489,181.59万元、净资产862,384.90万元、营业收入107,925.54万元、净利润-32,631.76万元。</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九、发行人主要财务数据及指标</w:t>
      </w:r>
    </w:p>
    <w:p>
      <w:pPr>
        <w:spacing w:line="360" w:lineRule="auto" w:after="80"/>
        <w:ind w:firstLine="420"/>
        <w:rPr>
          <w:rFonts w:ascii="仿宋_GB2312" w:hAnsi="仿宋_GB2312" w:eastAsia="仿宋_GB2312" w:cs="仿宋_GB2312"/>
          <w:sz w:val="24"/>
          <w:szCs w:val="24"/>
        </w:rPr>
      </w:pPr>
      <w:ins w:id="46" w:author="冯佳淇" w:date="2026-08-28T08:00:00Z">
        <w:r>
          <w:rPr>
            <w:rFonts w:ascii="仿宋_GB2312" w:hAnsi="仿宋_GB2312" w:eastAsia="仿宋_GB2312" w:cs="仿宋_GB2312"/>
            <w:sz w:val="24"/>
            <w:szCs w:val="24"/>
          </w:rPr>
          <w:t xml:space="preserve">审计说明：2024年、2025年经山东舜天信诚审计（鲁舜审字[2025]第0182号、鲁舜审字[2026]第0270号，标准无保留意见）。2026年1–6月未经审计。</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报告期内主要财务指标（最近两年及一期，空单元格表示募说未填）：</w:t>
      </w:r>
    </w:p>
    <w:tbl>
      <w:tblPr>
        <w:tblStyle w:val="TableGrid"/>
        <w:tblW w:type="auto" w:w="0"/>
        <w:tblLook w:firstColumn="1" w:firstRow="1" w:lastColumn="0" w:lastRow="0" w:noHBand="0" w:noVBand="1" w:val="04A0"/>
      </w:tblPr>
      <w:tblGrid>
        <w:gridCol w:w="2295"/>
        <w:gridCol w:w="2295"/>
        <w:gridCol w:w="2295"/>
        <w:gridCol w:w="2295"/>
      </w:tblGrid>
      <w:tr>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项目</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2026年6月末/1-6月</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2025年度/末</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2024年度/末</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总资产（亿元）</w:t>
            </w:r>
          </w:p>
        </w:tc>
        <w:tc>
          <w:tcPr>
            <w:tcW w:type="dxa" w:w="2295"/>
          </w:tcPr>
          <w:p>
            <w:pPr>
              <w:spacing w:line="360" w:lineRule="auto" w:after="80"/>
              <w:rPr>
                <w:rFonts w:ascii="仿宋_GB2312" w:hAnsi="仿宋_GB2312" w:eastAsia="仿宋_GB2312" w:cs="仿宋_GB2312"/>
                <w:sz w:val="20"/>
                <w:szCs w:val="20"/>
              </w:rPr>
            </w:pPr>
            <w:r/>
            <w:ins w:id="47" w:author="冯佳淇" w:date="2026-08-28T08:00:00Z">
              <w:r>
                <w:rPr>
                  <w:rFonts w:ascii="仿宋_GB2312" w:hAnsi="仿宋_GB2312" w:eastAsia="仿宋_GB2312" w:cs="仿宋_GB2312"/>
                  <w:sz w:val="20"/>
                  <w:szCs w:val="20"/>
                </w:rPr>
                <w:t xml:space="preserve">647.36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644.41</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679.47</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总负债（亿元）</w:t>
            </w:r>
          </w:p>
        </w:tc>
        <w:tc>
          <w:tcPr>
            <w:tcW w:type="dxa" w:w="2295"/>
          </w:tcPr>
          <w:p>
            <w:pPr>
              <w:spacing w:line="360" w:lineRule="auto" w:after="80"/>
              <w:rPr>
                <w:rFonts w:ascii="仿宋_GB2312" w:hAnsi="仿宋_GB2312" w:eastAsia="仿宋_GB2312" w:cs="仿宋_GB2312"/>
                <w:sz w:val="20"/>
                <w:szCs w:val="20"/>
              </w:rPr>
            </w:pPr>
            <w:r/>
            <w:ins w:id="48" w:author="冯佳淇" w:date="2026-08-28T08:00:00Z">
              <w:r>
                <w:rPr>
                  <w:rFonts w:ascii="仿宋_GB2312" w:hAnsi="仿宋_GB2312" w:eastAsia="仿宋_GB2312" w:cs="仿宋_GB2312"/>
                  <w:sz w:val="20"/>
                  <w:szCs w:val="20"/>
                </w:rPr>
                <w:t xml:space="preserve">363.28</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359.22</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399.12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全部债务（亿元）</w:t>
            </w:r>
          </w:p>
        </w:tc>
        <w:tc>
          <w:tcPr>
            <w:tcW w:type="dxa" w:w="2295"/>
          </w:tcPr>
          <w:p>
            <w:pPr>
              <w:spacing w:line="360" w:lineRule="auto" w:after="80"/>
              <w:rPr>
                <w:rFonts w:ascii="仿宋_GB2312" w:hAnsi="仿宋_GB2312" w:eastAsia="仿宋_GB2312" w:cs="仿宋_GB2312"/>
                <w:sz w:val="20"/>
                <w:szCs w:val="20"/>
              </w:rPr>
            </w:pPr>
            <w:r/>
            <w:ins w:id="49" w:author="冯佳淇" w:date="2026-08-28T08:00:00Z">
              <w:r>
                <w:rPr>
                  <w:rFonts w:ascii="仿宋_GB2312" w:hAnsi="仿宋_GB2312" w:eastAsia="仿宋_GB2312" w:cs="仿宋_GB2312"/>
                  <w:sz w:val="20"/>
                  <w:szCs w:val="20"/>
                </w:rPr>
                <w:t xml:space="preserve">258.79</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278.07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301.23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所有者权益（亿元）</w:t>
            </w:r>
          </w:p>
        </w:tc>
        <w:tc>
          <w:tcPr>
            <w:tcW w:type="dxa" w:w="2295"/>
          </w:tcPr>
          <w:p>
            <w:pPr>
              <w:spacing w:line="360" w:lineRule="auto" w:after="80"/>
              <w:rPr>
                <w:rFonts w:ascii="仿宋_GB2312" w:hAnsi="仿宋_GB2312" w:eastAsia="仿宋_GB2312" w:cs="仿宋_GB2312"/>
                <w:sz w:val="20"/>
                <w:szCs w:val="20"/>
              </w:rPr>
            </w:pPr>
            <w:r/>
            <w:ins w:id="50" w:author="冯佳淇" w:date="2026-08-28T08:00:00Z">
              <w:r>
                <w:rPr>
                  <w:rFonts w:ascii="仿宋_GB2312" w:hAnsi="仿宋_GB2312" w:eastAsia="仿宋_GB2312" w:cs="仿宋_GB2312"/>
                  <w:sz w:val="20"/>
                  <w:szCs w:val="20"/>
                </w:rPr>
                <w:t xml:space="preserve">284.08</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285.19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280.35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营业总收入（亿元）</w:t>
            </w:r>
          </w:p>
        </w:tc>
        <w:tc>
          <w:tcPr>
            <w:tcW w:type="dxa" w:w="2295"/>
          </w:tcPr>
          <w:p>
            <w:pPr>
              <w:spacing w:line="360" w:lineRule="auto" w:after="80"/>
              <w:rPr>
                <w:rFonts w:ascii="仿宋_GB2312" w:hAnsi="仿宋_GB2312" w:eastAsia="仿宋_GB2312" w:cs="仿宋_GB2312"/>
                <w:sz w:val="20"/>
                <w:szCs w:val="20"/>
              </w:rPr>
            </w:pPr>
            <w:r/>
            <w:ins w:id="51" w:author="冯佳淇" w:date="2026-08-28T08:00:00Z">
              <w:r>
                <w:rPr>
                  <w:rFonts w:ascii="仿宋_GB2312" w:hAnsi="仿宋_GB2312" w:eastAsia="仿宋_GB2312" w:cs="仿宋_GB2312"/>
                  <w:sz w:val="20"/>
                  <w:szCs w:val="20"/>
                </w:rPr>
                <w:t xml:space="preserve">10.28</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34.26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53.35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利润总额（亿元）</w:t>
            </w:r>
          </w:p>
        </w:tc>
        <w:tc>
          <w:tcPr>
            <w:tcW w:type="dxa" w:w="2295"/>
          </w:tcPr>
          <w:p>
            <w:pPr>
              <w:spacing w:line="360" w:lineRule="auto" w:after="80"/>
              <w:rPr>
                <w:rFonts w:ascii="仿宋_GB2312" w:hAnsi="仿宋_GB2312" w:eastAsia="仿宋_GB2312" w:cs="仿宋_GB2312"/>
                <w:sz w:val="20"/>
                <w:szCs w:val="20"/>
              </w:rPr>
            </w:pPr>
            <w:r/>
            <w:ins w:id="52" w:author="冯佳淇" w:date="2026-08-28T08:00:00Z">
              <w:r>
                <w:rPr>
                  <w:rFonts w:ascii="仿宋_GB2312" w:hAnsi="仿宋_GB2312" w:eastAsia="仿宋_GB2312" w:cs="仿宋_GB2312"/>
                  <w:sz w:val="20"/>
                  <w:szCs w:val="20"/>
                </w:rPr>
                <w:t xml:space="preserve">1.66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3.84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净利润（亿元）</w:t>
            </w:r>
          </w:p>
        </w:tc>
        <w:tc>
          <w:tcPr>
            <w:tcW w:type="dxa" w:w="2295"/>
          </w:tcPr>
          <w:p>
            <w:pPr>
              <w:spacing w:line="360" w:lineRule="auto" w:after="80"/>
              <w:rPr>
                <w:rFonts w:ascii="仿宋_GB2312" w:hAnsi="仿宋_GB2312" w:eastAsia="仿宋_GB2312" w:cs="仿宋_GB2312"/>
                <w:sz w:val="20"/>
                <w:szCs w:val="20"/>
              </w:rPr>
            </w:pPr>
            <w:r/>
            <w:ins w:id="53" w:author="冯佳淇" w:date="2026-08-28T08:00:00Z">
              <w:r>
                <w:rPr>
                  <w:rFonts w:ascii="仿宋_GB2312" w:hAnsi="仿宋_GB2312" w:eastAsia="仿宋_GB2312" w:cs="仿宋_GB2312"/>
                  <w:sz w:val="20"/>
                  <w:szCs w:val="20"/>
                </w:rPr>
                <w:t xml:space="preserve">1.66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5.75</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3.81</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扣除非经常性损益后净利润（亿元）</w:t>
            </w:r>
          </w:p>
        </w:tc>
        <w:tc>
          <w:tcPr>
            <w:tcW w:type="dxa" w:w="2295"/>
          </w:tcPr>
          <w:p>
            <w:pPr>
              <w:spacing w:line="360" w:lineRule="auto" w:after="80"/>
              <w:rPr>
                <w:rFonts w:ascii="仿宋_GB2312" w:hAnsi="仿宋_GB2312" w:eastAsia="仿宋_GB2312" w:cs="仿宋_GB2312"/>
                <w:sz w:val="20"/>
                <w:szCs w:val="20"/>
              </w:rPr>
            </w:pPr>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5.87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归属于母公司所有者的净利润（亿元）</w:t>
            </w:r>
          </w:p>
        </w:tc>
        <w:tc>
          <w:tcPr>
            <w:tcW w:type="dxa" w:w="2295"/>
          </w:tcPr>
          <w:p>
            <w:pPr>
              <w:spacing w:line="360" w:lineRule="auto" w:after="80"/>
              <w:rPr>
                <w:rFonts w:ascii="仿宋_GB2312" w:hAnsi="仿宋_GB2312" w:eastAsia="仿宋_GB2312" w:cs="仿宋_GB2312"/>
                <w:sz w:val="20"/>
                <w:szCs w:val="20"/>
              </w:rPr>
            </w:pPr>
            <w:r/>
            <w:ins w:id="54" w:author="冯佳淇" w:date="2026-08-28T08:00:00Z">
              <w:r>
                <w:rPr>
                  <w:rFonts w:ascii="仿宋_GB2312" w:hAnsi="仿宋_GB2312" w:eastAsia="仿宋_GB2312" w:cs="仿宋_GB2312"/>
                  <w:sz w:val="20"/>
                  <w:szCs w:val="20"/>
                </w:rPr>
                <w:t xml:space="preserve">1.66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3.75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经营现金流净额（亿元）</w:t>
            </w:r>
          </w:p>
        </w:tc>
        <w:tc>
          <w:tcPr>
            <w:tcW w:type="dxa" w:w="2295"/>
          </w:tcPr>
          <w:p>
            <w:pPr>
              <w:spacing w:line="360" w:lineRule="auto" w:after="80"/>
              <w:rPr>
                <w:rFonts w:ascii="仿宋_GB2312" w:hAnsi="仿宋_GB2312" w:eastAsia="仿宋_GB2312" w:cs="仿宋_GB2312"/>
                <w:sz w:val="20"/>
                <w:szCs w:val="20"/>
              </w:rPr>
            </w:pPr>
            <w:r/>
            <w:ins w:id="55" w:author="冯佳淇" w:date="2026-08-28T08:00:00Z">
              <w:r>
                <w:rPr>
                  <w:rFonts w:ascii="仿宋_GB2312" w:hAnsi="仿宋_GB2312" w:eastAsia="仿宋_GB2312" w:cs="仿宋_GB2312"/>
                  <w:sz w:val="20"/>
                  <w:szCs w:val="20"/>
                </w:rPr>
                <w:t xml:space="preserve">1.76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55.18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-70.73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投资现金流净额（亿元）</w:t>
            </w:r>
          </w:p>
        </w:tc>
        <w:tc>
          <w:tcPr>
            <w:tcW w:type="dxa" w:w="2295"/>
          </w:tcPr>
          <w:p>
            <w:pPr>
              <w:spacing w:line="360" w:lineRule="auto" w:after="80"/>
              <w:rPr>
                <w:rFonts w:ascii="仿宋_GB2312" w:hAnsi="仿宋_GB2312" w:eastAsia="仿宋_GB2312" w:cs="仿宋_GB2312"/>
                <w:sz w:val="20"/>
                <w:szCs w:val="20"/>
              </w:rPr>
            </w:pPr>
            <w:r/>
            <w:ins w:id="56" w:author="冯佳淇" w:date="2026-08-28T08:00:00Z">
              <w:r>
                <w:rPr>
                  <w:rFonts w:ascii="仿宋_GB2312" w:hAnsi="仿宋_GB2312" w:eastAsia="仿宋_GB2312" w:cs="仿宋_GB2312"/>
                  <w:sz w:val="20"/>
                  <w:szCs w:val="20"/>
                </w:rPr>
                <w:t xml:space="preserve">0.82</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-17.15</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3.21</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筹资现金流净额（亿元）</w:t>
            </w:r>
          </w:p>
        </w:tc>
        <w:tc>
          <w:tcPr>
            <w:tcW w:type="dxa" w:w="2295"/>
          </w:tcPr>
          <w:p>
            <w:pPr>
              <w:spacing w:line="360" w:lineRule="auto" w:after="80"/>
              <w:rPr>
                <w:rFonts w:ascii="仿宋_GB2312" w:hAnsi="仿宋_GB2312" w:eastAsia="仿宋_GB2312" w:cs="仿宋_GB2312"/>
                <w:sz w:val="20"/>
                <w:szCs w:val="20"/>
              </w:rPr>
            </w:pPr>
            <w:r/>
            <w:ins w:id="57" w:author="冯佳淇" w:date="2026-08-28T08:00:00Z">
              <w:r>
                <w:rPr>
                  <w:rFonts w:ascii="仿宋_GB2312" w:hAnsi="仿宋_GB2312" w:eastAsia="仿宋_GB2312" w:cs="仿宋_GB2312"/>
                  <w:sz w:val="20"/>
                  <w:szCs w:val="20"/>
                </w:rPr>
                <w:t xml:space="preserve">3.55</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-43.14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72.58</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流动比率</w:t>
            </w:r>
          </w:p>
        </w:tc>
        <w:tc>
          <w:tcPr>
            <w:tcW w:type="dxa" w:w="2295"/>
          </w:tcPr>
          <w:p>
            <w:pPr>
              <w:spacing w:line="360" w:lineRule="auto" w:after="80"/>
              <w:rPr>
                <w:rFonts w:ascii="仿宋_GB2312" w:hAnsi="仿宋_GB2312" w:eastAsia="仿宋_GB2312" w:cs="仿宋_GB2312"/>
                <w:sz w:val="20"/>
                <w:szCs w:val="20"/>
              </w:rPr>
            </w:pPr>
            <w:r/>
            <w:ins w:id="58" w:author="冯佳淇" w:date="2026-08-28T08:00:00Z">
              <w:r>
                <w:rPr>
                  <w:rFonts w:ascii="仿宋_GB2312" w:hAnsi="仿宋_GB2312" w:eastAsia="仿宋_GB2312" w:cs="仿宋_GB2312"/>
                  <w:sz w:val="20"/>
                  <w:szCs w:val="20"/>
                </w:rPr>
                <w:t xml:space="preserve">1.99</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速动比率</w:t>
            </w:r>
          </w:p>
        </w:tc>
        <w:tc>
          <w:tcPr>
            <w:tcW w:type="dxa" w:w="2295"/>
          </w:tcPr>
          <w:p>
            <w:pPr>
              <w:spacing w:line="360" w:lineRule="auto" w:after="80"/>
              <w:rPr>
                <w:rFonts w:ascii="仿宋_GB2312" w:hAnsi="仿宋_GB2312" w:eastAsia="仿宋_GB2312" w:cs="仿宋_GB2312"/>
                <w:sz w:val="20"/>
                <w:szCs w:val="20"/>
              </w:rPr>
            </w:pPr>
            <w:r/>
            <w:ins w:id="59" w:author="冯佳淇" w:date="2026-08-28T08:00:00Z">
              <w:r>
                <w:rPr>
                  <w:rFonts w:ascii="仿宋_GB2312" w:hAnsi="仿宋_GB2312" w:eastAsia="仿宋_GB2312" w:cs="仿宋_GB2312"/>
                  <w:sz w:val="20"/>
                  <w:szCs w:val="20"/>
                </w:rPr>
                <w:t xml:space="preserve">1.60</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资产负债率（%）</w:t>
            </w:r>
          </w:p>
        </w:tc>
        <w:tc>
          <w:tcPr>
            <w:tcW w:type="dxa" w:w="2295"/>
          </w:tcPr>
          <w:p>
            <w:pPr>
              <w:spacing w:line="360" w:lineRule="auto" w:after="80"/>
              <w:rPr>
                <w:rFonts w:ascii="仿宋_GB2312" w:hAnsi="仿宋_GB2312" w:eastAsia="仿宋_GB2312" w:cs="仿宋_GB2312"/>
                <w:sz w:val="20"/>
                <w:szCs w:val="20"/>
              </w:rPr>
            </w:pPr>
            <w:r/>
            <w:ins w:id="60" w:author="冯佳淇" w:date="2026-08-28T08:00:00Z">
              <w:r>
                <w:rPr>
                  <w:rFonts w:ascii="仿宋_GB2312" w:hAnsi="仿宋_GB2312" w:eastAsia="仿宋_GB2312" w:cs="仿宋_GB2312"/>
                  <w:sz w:val="20"/>
                  <w:szCs w:val="20"/>
                </w:rPr>
                <w:t xml:space="preserve">56.12</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55.74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58.74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债务资本比率（%）</w:t>
            </w:r>
          </w:p>
        </w:tc>
        <w:tc>
          <w:tcPr>
            <w:tcW w:type="dxa" w:w="2295"/>
          </w:tcPr>
          <w:p>
            <w:pPr>
              <w:spacing w:line="360" w:lineRule="auto" w:after="80"/>
              <w:rPr>
                <w:rFonts w:ascii="仿宋_GB2312" w:hAnsi="仿宋_GB2312" w:eastAsia="仿宋_GB2312" w:cs="仿宋_GB2312"/>
                <w:sz w:val="20"/>
                <w:szCs w:val="20"/>
              </w:rPr>
            </w:pPr>
            <w:r/>
            <w:ins w:id="61" w:author="冯佳淇" w:date="2026-08-28T08:00:00Z">
              <w:r>
                <w:rPr>
                  <w:rFonts w:ascii="仿宋_GB2312" w:hAnsi="仿宋_GB2312" w:eastAsia="仿宋_GB2312" w:cs="仿宋_GB2312"/>
                  <w:sz w:val="20"/>
                  <w:szCs w:val="20"/>
                </w:rPr>
                <w:t xml:space="preserve">47.67</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49.37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51.79</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营业毛利率（%）</w:t>
            </w:r>
          </w:p>
        </w:tc>
        <w:tc>
          <w:tcPr>
            <w:tcW w:type="dxa" w:w="2295"/>
          </w:tcPr>
          <w:p>
            <w:pPr>
              <w:spacing w:line="360" w:lineRule="auto" w:after="80"/>
              <w:rPr>
                <w:rFonts w:ascii="仿宋_GB2312" w:hAnsi="仿宋_GB2312" w:eastAsia="仿宋_GB2312" w:cs="仿宋_GB2312"/>
                <w:sz w:val="20"/>
                <w:szCs w:val="20"/>
              </w:rPr>
            </w:pPr>
            <w:r/>
            <w:ins w:id="62" w:author="冯佳淇" w:date="2026-08-28T08:00:00Z">
              <w:r>
                <w:rPr>
                  <w:rFonts w:ascii="仿宋_GB2312" w:hAnsi="仿宋_GB2312" w:eastAsia="仿宋_GB2312" w:cs="仿宋_GB2312"/>
                  <w:sz w:val="20"/>
                  <w:szCs w:val="20"/>
                </w:rPr>
                <w:t xml:space="preserve">13.28</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12.37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8.35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加权平均净资产收益率（%）</w:t>
            </w:r>
          </w:p>
        </w:tc>
        <w:tc>
          <w:tcPr>
            <w:tcW w:type="dxa" w:w="2295"/>
          </w:tcPr>
          <w:p>
            <w:pPr>
              <w:spacing w:line="360" w:lineRule="auto" w:after="80"/>
              <w:rPr>
                <w:rFonts w:ascii="仿宋_GB2312" w:hAnsi="仿宋_GB2312" w:eastAsia="仿宋_GB2312" w:cs="仿宋_GB2312"/>
                <w:sz w:val="20"/>
                <w:szCs w:val="20"/>
              </w:rPr>
            </w:pPr>
            <w:r/>
            <w:ins w:id="63" w:author="冯佳淇" w:date="2026-08-28T08:00:00Z">
              <w:r>
                <w:rPr>
                  <w:rFonts w:ascii="仿宋_GB2312" w:hAnsi="仿宋_GB2312" w:eastAsia="仿宋_GB2312" w:cs="仿宋_GB2312"/>
                  <w:sz w:val="20"/>
                  <w:szCs w:val="20"/>
                </w:rPr>
                <w:t xml:space="preserve">0.59</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1.34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扣非后加权平均净资产收益率（%）</w:t>
            </w:r>
          </w:p>
        </w:tc>
        <w:tc>
          <w:tcPr>
            <w:tcW w:type="dxa" w:w="2295"/>
          </w:tcPr>
          <w:p>
            <w:pPr>
              <w:spacing w:line="360" w:lineRule="auto" w:after="80"/>
              <w:rPr>
                <w:rFonts w:ascii="仿宋_GB2312" w:hAnsi="仿宋_GB2312" w:eastAsia="仿宋_GB2312" w:cs="仿宋_GB2312"/>
                <w:sz w:val="20"/>
                <w:szCs w:val="20"/>
              </w:rPr>
            </w:pPr>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2.10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2.15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EBITDA（亿元）</w:t>
            </w:r>
          </w:p>
        </w:tc>
        <w:tc>
          <w:tcPr>
            <w:tcW w:type="dxa" w:w="2295"/>
          </w:tcPr>
          <w:p>
            <w:pPr>
              <w:spacing w:line="360" w:lineRule="auto" w:after="80"/>
              <w:rPr>
                <w:rFonts w:ascii="仿宋_GB2312" w:hAnsi="仿宋_GB2312" w:eastAsia="仿宋_GB2312" w:cs="仿宋_GB2312"/>
                <w:sz w:val="20"/>
                <w:szCs w:val="20"/>
              </w:rPr>
            </w:pPr>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19.83</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13.32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EBITDA全部债务比</w:t>
            </w:r>
          </w:p>
        </w:tc>
        <w:tc>
          <w:tcPr>
            <w:tcW w:type="dxa" w:w="2295"/>
          </w:tcPr>
          <w:p>
            <w:pPr>
              <w:spacing w:line="360" w:lineRule="auto" w:after="80"/>
              <w:rPr>
                <w:rFonts w:ascii="仿宋_GB2312" w:hAnsi="仿宋_GB2312" w:eastAsia="仿宋_GB2312" w:cs="仿宋_GB2312"/>
                <w:sz w:val="20"/>
                <w:szCs w:val="20"/>
              </w:rPr>
            </w:pPr>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7.13</w:t>
            </w:r>
          </w:p>
        </w:tc>
        <w:tc>
          <w:tcPr>
            <w:tcW w:type="dxa" w:w="2295"/>
          </w:tcPr>
          <w:p>
            <w:pPr>
              <w:spacing w:line="360" w:lineRule="auto" w:after="80"/>
              <w:rPr>
                <w:rFonts w:ascii="仿宋_GB2312" w:hAnsi="仿宋_GB2312" w:eastAsia="仿宋_GB2312" w:cs="仿宋_GB2312"/>
                <w:sz w:val="20"/>
                <w:szCs w:val="20"/>
              </w:rPr>
            </w:pPr>
            <w:r/>
            <w:del w:id="64" w:author="冯佳淇" w:date="2026-08-28T08:00:00Z">
              <w:r>
                <w:rPr>
                  <w:rFonts w:ascii="仿宋_GB2312" w:hAnsi="仿宋_GB2312" w:eastAsia="仿宋_GB2312" w:cs="仿宋_GB2312"/>
                  <w:sz w:val="20"/>
                  <w:szCs w:val="20"/>
                </w:rPr>
                <w:delText xml:space="preserve">0.04</w:delText>
              </w:r>
            </w:del>
            <w:ins w:id="65" w:author="冯佳淇" w:date="2026-08-28T08:00:00Z">
              <w:r>
                <w:rPr>
                  <w:rFonts w:ascii="仿宋_GB2312" w:hAnsi="仿宋_GB2312" w:eastAsia="仿宋_GB2312" w:cs="仿宋_GB2312"/>
                  <w:sz w:val="20"/>
                  <w:szCs w:val="20"/>
                </w:rPr>
                <w:t xml:space="preserve">4.42</w:t>
              </w:r>
            </w:ins>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EBITDA利息保障倍数</w:t>
            </w:r>
          </w:p>
        </w:tc>
        <w:tc>
          <w:tcPr>
            <w:tcW w:type="dxa" w:w="2295"/>
          </w:tcPr>
          <w:p>
            <w:pPr>
              <w:spacing w:line="360" w:lineRule="auto" w:after="80"/>
              <w:rPr>
                <w:rFonts w:ascii="仿宋_GB2312" w:hAnsi="仿宋_GB2312" w:eastAsia="仿宋_GB2312" w:cs="仿宋_GB2312"/>
                <w:sz w:val="20"/>
                <w:szCs w:val="20"/>
              </w:rPr>
            </w:pPr>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0.63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应收账款周转率</w:t>
            </w:r>
          </w:p>
        </w:tc>
        <w:tc>
          <w:tcPr>
            <w:tcW w:type="dxa" w:w="2295"/>
          </w:tcPr>
          <w:p>
            <w:pPr>
              <w:spacing w:line="360" w:lineRule="auto" w:after="80"/>
              <w:rPr>
                <w:rFonts w:ascii="仿宋_GB2312" w:hAnsi="仿宋_GB2312" w:eastAsia="仿宋_GB2312" w:cs="仿宋_GB2312"/>
                <w:sz w:val="20"/>
                <w:szCs w:val="20"/>
              </w:rPr>
            </w:pPr>
            <w:r/>
            <w:ins w:id="66" w:author="冯佳淇" w:date="2026-08-28T08:00:00Z">
              <w:r>
                <w:rPr>
                  <w:rFonts w:ascii="仿宋_GB2312" w:hAnsi="仿宋_GB2312" w:eastAsia="仿宋_GB2312" w:cs="仿宋_GB2312"/>
                  <w:sz w:val="20"/>
                  <w:szCs w:val="20"/>
                </w:rPr>
                <w:t xml:space="preserve">0.06</w:t>
              </w:r>
            </w:ins>
          </w:p>
        </w:tc>
        <w:tc>
          <w:tcPr>
            <w:tcW w:type="dxa" w:w="2295"/>
          </w:tcPr>
          <w:p>
            <w:pPr>
              <w:spacing w:line="360" w:lineRule="auto" w:after="80"/>
              <w:rPr>
                <w:rFonts w:ascii="仿宋_GB2312" w:hAnsi="仿宋_GB2312" w:eastAsia="仿宋_GB2312" w:cs="仿宋_GB2312"/>
                <w:sz w:val="20"/>
                <w:szCs w:val="20"/>
              </w:rPr>
            </w:pPr>
            <w:r/>
            <w:del w:id="67" w:author="冯佳淇" w:date="2026-08-28T08:00:00Z">
              <w:r>
                <w:rPr>
                  <w:rFonts w:ascii="仿宋_GB2312" w:hAnsi="仿宋_GB2312" w:eastAsia="仿宋_GB2312" w:cs="仿宋_GB2312"/>
                  <w:sz w:val="20"/>
                  <w:szCs w:val="20"/>
                </w:rPr>
                <w:delText xml:space="preserve">0.05</w:delText>
              </w:r>
            </w:del>
            <w:ins w:id="68" w:author="冯佳淇" w:date="2026-08-28T08:00:00Z">
              <w:r>
                <w:rPr>
                  <w:rFonts w:ascii="仿宋_GB2312" w:hAnsi="仿宋_GB2312" w:eastAsia="仿宋_GB2312" w:cs="仿宋_GB2312"/>
                  <w:sz w:val="20"/>
                  <w:szCs w:val="20"/>
                </w:rPr>
                <w:t xml:space="preserve">0.20</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0.36</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存货周转率</w:t>
            </w:r>
          </w:p>
        </w:tc>
        <w:tc>
          <w:tcPr>
            <w:tcW w:type="dxa" w:w="2295"/>
          </w:tcPr>
          <w:p>
            <w:pPr>
              <w:spacing w:line="360" w:lineRule="auto" w:after="80"/>
              <w:rPr>
                <w:rFonts w:ascii="仿宋_GB2312" w:hAnsi="仿宋_GB2312" w:eastAsia="仿宋_GB2312" w:cs="仿宋_GB2312"/>
                <w:sz w:val="20"/>
                <w:szCs w:val="20"/>
              </w:rPr>
            </w:pPr>
            <w:r/>
            <w:ins w:id="69" w:author="冯佳淇" w:date="2026-08-28T08:00:00Z">
              <w:r>
                <w:rPr>
                  <w:rFonts w:ascii="仿宋_GB2312" w:hAnsi="仿宋_GB2312" w:eastAsia="仿宋_GB2312" w:cs="仿宋_GB2312"/>
                  <w:sz w:val="20"/>
                  <w:szCs w:val="20"/>
                </w:rPr>
                <w:t xml:space="preserve">0.09</w:t>
              </w:r>
            </w:ins>
          </w:p>
        </w:tc>
        <w:tc>
          <w:tcPr>
            <w:tcW w:type="dxa" w:w="2295"/>
          </w:tcPr>
          <w:p>
            <w:pPr>
              <w:spacing w:line="360" w:lineRule="auto" w:after="80"/>
              <w:rPr>
                <w:rFonts w:ascii="仿宋_GB2312" w:hAnsi="仿宋_GB2312" w:eastAsia="仿宋_GB2312" w:cs="仿宋_GB2312"/>
                <w:sz w:val="20"/>
                <w:szCs w:val="20"/>
              </w:rPr>
            </w:pPr>
            <w:r/>
            <w:del w:id="70" w:author="冯佳淇" w:date="2026-08-28T08:00:00Z">
              <w:r>
                <w:rPr>
                  <w:rFonts w:ascii="仿宋_GB2312" w:hAnsi="仿宋_GB2312" w:eastAsia="仿宋_GB2312" w:cs="仿宋_GB2312"/>
                  <w:sz w:val="20"/>
                  <w:szCs w:val="20"/>
                </w:rPr>
                <w:delText xml:space="preserve">0.20</w:delText>
              </w:r>
            </w:del>
            <w:ins w:id="71" w:author="冯佳淇" w:date="2026-08-28T08:00:00Z">
              <w:r>
                <w:rPr>
                  <w:rFonts w:ascii="仿宋_GB2312" w:hAnsi="仿宋_GB2312" w:eastAsia="仿宋_GB2312" w:cs="仿宋_GB2312"/>
                  <w:sz w:val="20"/>
                  <w:szCs w:val="20"/>
                </w:rPr>
                <w:t xml:space="preserve">0.26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0.31</w:t>
            </w:r>
          </w:p>
        </w:tc>
      </w:tr>
    </w:tbl>
    <w:p/>
    <w:p>
      <w:pPr>
        <w:spacing w:line="360" w:lineRule="auto" w:after="80"/>
        <w:ind w:firstLine="420"/>
        <w:rPr>
          <w:rFonts w:ascii="仿宋_GB2312" w:hAnsi="仿宋_GB2312" w:eastAsia="仿宋_GB2312" w:cs="仿宋_GB2312"/>
          <w:sz w:val="24"/>
          <w:szCs w:val="24"/>
        </w:rPr>
      </w:pPr>
      <w:ins w:id="72" w:author="冯佳淇" w:date="2026-08-28T08:00:00Z">
        <w:r>
          <w:rPr>
            <w:rFonts w:ascii="仿宋_GB2312" w:hAnsi="仿宋_GB2312" w:eastAsia="仿宋_GB2312" w:cs="仿宋_GB2312"/>
            <w:sz w:val="24"/>
            <w:szCs w:val="24"/>
          </w:rPr>
          <w:t xml:space="preserve">合并报表最新时点：2026年6月末资产总计6,473,643.98万元、负债合计3,632,838.28万元、所有者权益2,840,805.70万元；2026年1–6月营业总收入102,774.90万元、净利润16,623.24万元。期末现金及现金等价物85,591.11万元。空单元格对应募说【】。</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十、发行可行性分析</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发行条件符合《公司法》《证券法》《公司债券发行与交易管理办法》等规定；发行人不属于《非公开发行公司债券项目承接负面清单指引（2024年修订）》禁止情形。本次债券仅面向专业投资者，每次发行对象不超过二百人。发行人拟聘请甬兴证券有限公司作为</w:t>
      </w:r>
      <w:del w:id="73" w:author="冯佳淇" w:date="2026-08-28T08:00:00Z">
        <w:r>
          <w:rPr>
            <w:rFonts w:ascii="仿宋_GB2312" w:hAnsi="仿宋_GB2312" w:eastAsia="仿宋_GB2312" w:cs="仿宋_GB2312"/>
            <w:sz w:val="24"/>
            <w:szCs w:val="24"/>
          </w:rPr>
          <w:delText xml:space="preserve">本次债券的主承销商</w:delText>
        </w:r>
      </w:del>
      <w:ins w:id="74" w:author="冯佳淇" w:date="2026-08-28T08:00:00Z">
        <w:r>
          <w:rPr>
            <w:rFonts w:ascii="仿宋_GB2312" w:hAnsi="仿宋_GB2312" w:eastAsia="仿宋_GB2312" w:cs="仿宋_GB2312"/>
            <w:sz w:val="24"/>
            <w:szCs w:val="24"/>
          </w:rPr>
          <w:t xml:space="preserve">牵头主承销商、受托管理人、簿记管理人</w:t>
        </w:r>
      </w:ins>
      <w:r>
        <w:rPr>
          <w:rFonts w:ascii="仿宋_GB2312" w:hAnsi="仿宋_GB2312" w:eastAsia="仿宋_GB2312" w:cs="仿宋_GB2312"/>
          <w:sz w:val="24"/>
          <w:szCs w:val="24"/>
        </w:rPr>
        <w:t xml:space="preserve">，</w:t>
      </w:r>
      <w:ins w:id="75" w:author="冯佳淇" w:date="2026-08-28T08:00:00Z">
        <w:r>
          <w:rPr>
            <w:rFonts w:ascii="仿宋_GB2312" w:hAnsi="仿宋_GB2312" w:eastAsia="仿宋_GB2312" w:cs="仿宋_GB2312"/>
            <w:sz w:val="24"/>
            <w:szCs w:val="24"/>
          </w:rPr>
          <w:t xml:space="preserve">并聘请德邦证券股份有限公司作为联席主承销商；</w:t>
        </w:r>
      </w:ins>
      <w:r>
        <w:rPr>
          <w:rFonts w:ascii="仿宋_GB2312" w:hAnsi="仿宋_GB2312" w:eastAsia="仿宋_GB2312" w:cs="仿宋_GB2312"/>
          <w:sz w:val="24"/>
          <w:szCs w:val="24"/>
        </w:rPr>
        <w:t xml:space="preserve">律师为山东恒正律师事务所。挂牌场所为上海证券交易所。</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十一、发行人偿债能力分析</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报告期内各期末，发行人流动比率分别为2.53、2.50和</w:t>
      </w:r>
      <w:ins w:id="76" w:author="冯佳淇" w:date="2026-08-28T08:00:00Z">
        <w:r>
          <w:rPr>
            <w:rFonts w:ascii="仿宋_GB2312" w:hAnsi="仿宋_GB2312" w:eastAsia="仿宋_GB2312" w:cs="仿宋_GB2312"/>
            <w:sz w:val="24"/>
            <w:szCs w:val="24"/>
          </w:rPr>
          <w:t xml:space="preserve">1.99</w:t>
        </w:r>
      </w:ins>
      <w:r>
        <w:rPr>
          <w:rFonts w:ascii="仿宋_GB2312" w:hAnsi="仿宋_GB2312" w:eastAsia="仿宋_GB2312" w:cs="仿宋_GB2312"/>
          <w:sz w:val="24"/>
          <w:szCs w:val="24"/>
        </w:rPr>
        <w:t xml:space="preserve">，速动比率分别为1.95、1.97和</w:t>
      </w:r>
      <w:ins w:id="77" w:author="冯佳淇" w:date="2026-08-28T08:00:00Z">
        <w:r>
          <w:rPr>
            <w:rFonts w:ascii="仿宋_GB2312" w:hAnsi="仿宋_GB2312" w:eastAsia="仿宋_GB2312" w:cs="仿宋_GB2312"/>
            <w:sz w:val="24"/>
            <w:szCs w:val="24"/>
          </w:rPr>
          <w:t xml:space="preserve">1.60</w:t>
        </w:r>
      </w:ins>
      <w:r>
        <w:rPr>
          <w:rFonts w:ascii="仿宋_GB2312" w:hAnsi="仿宋_GB2312" w:eastAsia="仿宋_GB2312" w:cs="仿宋_GB2312"/>
          <w:sz w:val="24"/>
          <w:szCs w:val="24"/>
        </w:rPr>
        <w:t xml:space="preserve">；资产负债率分别为58.74%、55.74%和</w:t>
      </w:r>
      <w:ins w:id="78" w:author="冯佳淇" w:date="2026-08-28T08:00:00Z">
        <w:r>
          <w:rPr>
            <w:rFonts w:ascii="仿宋_GB2312" w:hAnsi="仿宋_GB2312" w:eastAsia="仿宋_GB2312" w:cs="仿宋_GB2312"/>
            <w:sz w:val="24"/>
            <w:szCs w:val="24"/>
          </w:rPr>
          <w:t xml:space="preserve">56.12%</w:t>
        </w:r>
      </w:ins>
      <w:r>
        <w:rPr>
          <w:rFonts w:ascii="仿宋_GB2312" w:hAnsi="仿宋_GB2312" w:eastAsia="仿宋_GB2312" w:cs="仿宋_GB2312"/>
          <w:sz w:val="24"/>
          <w:szCs w:val="24"/>
        </w:rPr>
        <w:t xml:space="preserve">。EBITDA利息保障倍数分别为0.63、1.40和</w:t>
      </w:r>
      <w:ins w:id="79" w:author="冯佳淇" w:date="2026-08-28T08:00:00Z">
        <w:r>
          <w:rPr>
            <w:rFonts w:ascii="仿宋_GB2312" w:hAnsi="仿宋_GB2312" w:eastAsia="仿宋_GB2312" w:cs="仿宋_GB2312"/>
            <w:sz w:val="24"/>
            <w:szCs w:val="24"/>
          </w:rPr>
          <w:t xml:space="preserve">　　</w:t>
        </w:r>
      </w:ins>
      <w:r>
        <w:rPr>
          <w:rFonts w:ascii="仿宋_GB2312" w:hAnsi="仿宋_GB2312" w:eastAsia="仿宋_GB2312" w:cs="仿宋_GB2312"/>
          <w:sz w:val="24"/>
          <w:szCs w:val="24"/>
        </w:rPr>
        <w:t xml:space="preserve">（最近一期募说未填，留空）。</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2024年、2025年和2026年1–6月营业收入分别为533,548.93万元、342,590.80万元和102,774.90万元；归母净利润分别为37,475.46万元、57,421.49万元和16,646.40万元。</w:t>
      </w:r>
    </w:p>
    <w:p>
      <w:pPr>
        <w:spacing w:line="360" w:lineRule="auto" w:after="80"/>
        <w:ind w:firstLine="420"/>
        <w:rPr>
          <w:rFonts w:ascii="仿宋_GB2312" w:hAnsi="仿宋_GB2312" w:eastAsia="仿宋_GB2312" w:cs="仿宋_GB2312"/>
          <w:sz w:val="24"/>
          <w:szCs w:val="24"/>
        </w:rPr>
      </w:pPr>
      <w:ins w:id="80" w:author="冯佳淇" w:date="2026-08-28T08:00:00Z">
        <w:r>
          <w:rPr>
            <w:rFonts w:ascii="仿宋_GB2312" w:hAnsi="仿宋_GB2312" w:eastAsia="仿宋_GB2312" w:cs="仿宋_GB2312"/>
            <w:sz w:val="24"/>
            <w:szCs w:val="24"/>
          </w:rPr>
          <w:t xml:space="preserve">外部融资渠道：截至2026年6月末授信总额、已用、剩余募说均未填，留空，不以2025年末6.26亿元剩余授信作为最新时点。</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十二、债券担保情况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本次债券无担保。</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十三、本期债券募集资金用途</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本次公司债券募集资金扣除发行费用后，</w:t>
      </w:r>
      <w:del w:id="81" w:author="冯佳淇" w:date="2026-08-28T08:00:00Z">
        <w:r>
          <w:rPr>
            <w:rFonts w:ascii="仿宋_GB2312" w:hAnsi="仿宋_GB2312" w:eastAsia="仿宋_GB2312" w:cs="仿宋_GB2312"/>
            <w:sz w:val="24"/>
            <w:szCs w:val="24"/>
          </w:rPr>
          <w:delText xml:space="preserve">全部用于</w:delText>
        </w:r>
      </w:del>
      <w:ins w:id="82" w:author="冯佳淇" w:date="2026-08-28T08:00:00Z">
        <w:r>
          <w:rPr>
            <w:rFonts w:ascii="仿宋_GB2312" w:hAnsi="仿宋_GB2312" w:eastAsia="仿宋_GB2312" w:cs="仿宋_GB2312"/>
            <w:sz w:val="24"/>
            <w:szCs w:val="24"/>
          </w:rPr>
          <w:t xml:space="preserve">拟全部用于</w:t>
        </w:r>
      </w:ins>
      <w:r>
        <w:rPr>
          <w:rFonts w:ascii="仿宋_GB2312" w:hAnsi="仿宋_GB2312" w:eastAsia="仿宋_GB2312" w:cs="仿宋_GB2312"/>
          <w:sz w:val="24"/>
          <w:szCs w:val="24"/>
        </w:rPr>
        <w:t xml:space="preserve">偿还公司债券本金。发行人承诺不用于偿还公司到期公司债券本金以外用途，不涉及新增地方政府债务。明细按募说调整如下：</w:t>
      </w:r>
    </w:p>
    <w:tbl>
      <w:tblPr>
        <w:tblStyle w:val="TableGrid"/>
        <w:tblW w:type="auto" w:w="0"/>
        <w:tblLook w:firstColumn="1" w:firstRow="1" w:lastColumn="0" w:lastRow="0" w:noHBand="0" w:noVBand="1" w:val="04A0"/>
      </w:tblPr>
      <w:tblGrid>
        <w:gridCol w:w="1311"/>
        <w:gridCol w:w="1311"/>
        <w:gridCol w:w="1311"/>
        <w:gridCol w:w="1311"/>
        <w:gridCol w:w="1311"/>
        <w:gridCol w:w="1311"/>
        <w:gridCol w:w="1311"/>
      </w:tblGrid>
      <w:tr>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债券简称</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债券余额（亿元）</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证券类别</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起息日</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回售日</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到期日</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拟使用募集资金（亿元）</w:t>
            </w:r>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22兖投01</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1.90</w:t>
            </w:r>
          </w:p>
        </w:tc>
        <w:tc>
          <w:tcPr>
            <w:tcW w:type="dxa" w:w="1311"/>
          </w:tcPr>
          <w:p>
            <w:pPr>
              <w:spacing w:line="360" w:lineRule="auto" w:after="80"/>
              <w:rPr>
                <w:rFonts w:ascii="仿宋_GB2312" w:hAnsi="仿宋_GB2312" w:eastAsia="仿宋_GB2312" w:cs="仿宋_GB2312"/>
                <w:sz w:val="20"/>
                <w:szCs w:val="20"/>
              </w:rPr>
            </w:pPr>
            <w:r/>
            <w:del w:id="83" w:author="冯佳淇" w:date="2026-08-28T08:00:00Z">
              <w:r>
                <w:rPr>
                  <w:rFonts w:ascii="仿宋_GB2312" w:hAnsi="仿宋_GB2312" w:eastAsia="仿宋_GB2312" w:cs="仿宋_GB2312"/>
                  <w:sz w:val="20"/>
                  <w:szCs w:val="20"/>
                </w:rPr>
                <w:delText xml:space="preserve">一般公司债</w:delText>
              </w:r>
            </w:del>
            <w:ins w:id="84" w:author="冯佳淇" w:date="2026-08-28T08:00:00Z">
              <w:r>
                <w:rPr>
                  <w:rFonts w:ascii="仿宋_GB2312" w:hAnsi="仿宋_GB2312" w:eastAsia="仿宋_GB2312" w:cs="仿宋_GB2312"/>
                  <w:sz w:val="20"/>
                  <w:szCs w:val="20"/>
                </w:rPr>
                <w:t xml:space="preserve">公司债券</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2022-01-27</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2025-01-27</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2027-01-27</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1.90</w:t>
            </w:r>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23兖投01</w:t>
            </w:r>
          </w:p>
        </w:tc>
        <w:tc>
          <w:tcPr>
            <w:tcW w:type="dxa" w:w="1311"/>
          </w:tcPr>
          <w:p>
            <w:pPr>
              <w:spacing w:line="360" w:lineRule="auto" w:after="80"/>
              <w:rPr>
                <w:rFonts w:ascii="仿宋_GB2312" w:hAnsi="仿宋_GB2312" w:eastAsia="仿宋_GB2312" w:cs="仿宋_GB2312"/>
                <w:sz w:val="20"/>
                <w:szCs w:val="20"/>
              </w:rPr>
            </w:pPr>
            <w:r/>
            <w:del w:id="85" w:author="冯佳淇" w:date="2026-08-28T08:00:00Z">
              <w:r>
                <w:rPr>
                  <w:rFonts w:ascii="仿宋_GB2312" w:hAnsi="仿宋_GB2312" w:eastAsia="仿宋_GB2312" w:cs="仿宋_GB2312"/>
                  <w:sz w:val="20"/>
                  <w:szCs w:val="20"/>
                </w:rPr>
                <w:delText xml:space="preserve">0.38</w:delText>
              </w:r>
            </w:del>
            <w:ins w:id="86" w:author="冯佳淇" w:date="2026-08-28T08:00:00Z">
              <w:r>
                <w:rPr>
                  <w:rFonts w:ascii="仿宋_GB2312" w:hAnsi="仿宋_GB2312" w:eastAsia="仿宋_GB2312" w:cs="仿宋_GB2312"/>
                  <w:sz w:val="20"/>
                  <w:szCs w:val="20"/>
                </w:rPr>
                <w:t xml:space="preserve">0.378</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非公开发行公司债券</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2023-03-14</w:t>
            </w:r>
          </w:p>
        </w:tc>
        <w:tc>
          <w:tcPr>
            <w:tcW w:type="dxa" w:w="1311"/>
          </w:tcPr>
          <w:p>
            <w:pPr>
              <w:spacing w:line="360" w:lineRule="auto" w:after="80"/>
              <w:rPr>
                <w:rFonts w:ascii="仿宋_GB2312" w:hAnsi="仿宋_GB2312" w:eastAsia="仿宋_GB2312" w:cs="仿宋_GB2312"/>
                <w:sz w:val="20"/>
                <w:szCs w:val="20"/>
              </w:rPr>
            </w:pPr>
            <w:r/>
            <w:del w:id="87" w:author="冯佳淇" w:date="2026-08-28T08:00:00Z">
              <w:r>
                <w:rPr>
                  <w:rFonts w:ascii="仿宋_GB2312" w:hAnsi="仿宋_GB2312" w:eastAsia="仿宋_GB2312" w:cs="仿宋_GB2312"/>
                  <w:sz w:val="20"/>
                  <w:szCs w:val="20"/>
                </w:rPr>
                <w:delText xml:space="preserve">2027-3-14</w:delText>
              </w:r>
            </w:del>
            <w:ins w:id="88" w:author="冯佳淇" w:date="2026-08-28T08:00:00Z">
              <w:r>
                <w:rPr>
                  <w:rFonts w:ascii="仿宋_GB2312" w:hAnsi="仿宋_GB2312" w:eastAsia="仿宋_GB2312" w:cs="仿宋_GB2312"/>
                  <w:sz w:val="20"/>
                  <w:szCs w:val="20"/>
                </w:rPr>
                <w:t xml:space="preserve">2025-03-14；2027-03-14</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2028-03-14</w:t>
            </w:r>
          </w:p>
        </w:tc>
        <w:tc>
          <w:tcPr>
            <w:tcW w:type="dxa" w:w="1311"/>
          </w:tcPr>
          <w:p>
            <w:pPr>
              <w:spacing w:line="360" w:lineRule="auto" w:after="80"/>
              <w:rPr>
                <w:rFonts w:ascii="仿宋_GB2312" w:hAnsi="仿宋_GB2312" w:eastAsia="仿宋_GB2312" w:cs="仿宋_GB2312"/>
                <w:sz w:val="20"/>
                <w:szCs w:val="20"/>
              </w:rPr>
            </w:pPr>
            <w:r/>
            <w:ins w:id="89" w:author="冯佳淇" w:date="2026-08-28T08:00:00Z">
              <w:r>
                <w:rPr>
                  <w:rFonts w:ascii="仿宋_GB2312" w:hAnsi="仿宋_GB2312" w:eastAsia="仿宋_GB2312" w:cs="仿宋_GB2312"/>
                  <w:sz w:val="20"/>
                  <w:szCs w:val="20"/>
                </w:rPr>
                <w:t xml:space="preserve">0.378</w:t>
              </w:r>
            </w:ins>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24兖投01</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3.10</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非公开发行公司债券</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2024-04-25</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2027-04-25</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2029-04-25</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3.10</w:t>
            </w:r>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22兖州01</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非公开发行公司债券</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2022-05-24</w:t>
            </w:r>
          </w:p>
        </w:tc>
        <w:tc>
          <w:tcPr>
            <w:tcW w:type="dxa" w:w="1311"/>
          </w:tcPr>
          <w:p>
            <w:pPr>
              <w:spacing w:line="360" w:lineRule="auto" w:after="80"/>
              <w:rPr>
                <w:rFonts w:ascii="仿宋_GB2312" w:hAnsi="仿宋_GB2312" w:eastAsia="仿宋_GB2312" w:cs="仿宋_GB2312"/>
                <w:sz w:val="20"/>
                <w:szCs w:val="20"/>
              </w:rPr>
            </w:pPr>
            <w:r/>
            <w:del w:id="90" w:author="冯佳淇" w:date="2026-08-28T08:00:00Z">
              <w:r>
                <w:rPr>
                  <w:rFonts w:ascii="仿宋_GB2312" w:hAnsi="仿宋_GB2312" w:eastAsia="仿宋_GB2312" w:cs="仿宋_GB2312"/>
                  <w:sz w:val="20"/>
                  <w:szCs w:val="20"/>
                </w:rPr>
                <w:delText xml:space="preserve">2026-5-24</w:delText>
              </w:r>
            </w:del>
            <w:ins w:id="91" w:author="冯佳淇" w:date="2026-08-28T08:00:00Z">
              <w:r>
                <w:rPr>
                  <w:rFonts w:ascii="仿宋_GB2312" w:hAnsi="仿宋_GB2312" w:eastAsia="仿宋_GB2312" w:cs="仿宋_GB2312"/>
                  <w:sz w:val="20"/>
                  <w:szCs w:val="20"/>
                </w:rPr>
                <w:t xml:space="preserve">2024-05-24；2026-05-24</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2027-05-24</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合计</w:t>
            </w:r>
          </w:p>
        </w:tc>
        <w:tc>
          <w:tcPr>
            <w:tcW w:type="dxa" w:w="1311"/>
          </w:tcPr>
          <w:p>
            <w:pPr>
              <w:spacing w:line="360" w:lineRule="auto" w:after="80"/>
              <w:rPr>
                <w:rFonts w:ascii="仿宋_GB2312" w:hAnsi="仿宋_GB2312" w:eastAsia="仿宋_GB2312" w:cs="仿宋_GB2312"/>
                <w:sz w:val="20"/>
                <w:szCs w:val="20"/>
              </w:rPr>
            </w:pPr>
            <w:r/>
            <w:del w:id="92" w:author="冯佳淇" w:date="2026-08-28T08:00:00Z">
              <w:r>
                <w:rPr>
                  <w:rFonts w:ascii="仿宋_GB2312" w:hAnsi="仿宋_GB2312" w:eastAsia="仿宋_GB2312" w:cs="仿宋_GB2312"/>
                  <w:sz w:val="20"/>
                  <w:szCs w:val="20"/>
                </w:rPr>
                <w:delText xml:space="preserve">6.78</w:delText>
              </w:r>
            </w:del>
            <w:ins w:id="93" w:author="冯佳淇" w:date="2026-08-28T08:00:00Z">
              <w:r>
                <w:rPr>
                  <w:rFonts w:ascii="仿宋_GB2312" w:hAnsi="仿宋_GB2312" w:eastAsia="仿宋_GB2312" w:cs="仿宋_GB2312"/>
                  <w:sz w:val="20"/>
                  <w:szCs w:val="20"/>
                </w:rPr>
                <w:t xml:space="preserve">6.778</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311"/>
          </w:tcPr>
          <w:p>
            <w:pPr>
              <w:spacing w:line="360" w:lineRule="auto" w:after="80"/>
              <w:rPr>
                <w:rFonts w:ascii="仿宋_GB2312" w:hAnsi="仿宋_GB2312" w:eastAsia="仿宋_GB2312" w:cs="仿宋_GB2312"/>
                <w:sz w:val="20"/>
                <w:szCs w:val="20"/>
              </w:rPr>
            </w:pPr>
            <w:r/>
            <w:ins w:id="94" w:author="冯佳淇" w:date="2026-08-28T08:00:00Z">
              <w:r>
                <w:rPr>
                  <w:rFonts w:ascii="仿宋_GB2312" w:hAnsi="仿宋_GB2312" w:eastAsia="仿宋_GB2312" w:cs="仿宋_GB2312"/>
                  <w:sz w:val="20"/>
                  <w:szCs w:val="20"/>
                </w:rPr>
                <w:t xml:space="preserve">6.778</w:t>
              </w:r>
            </w:ins>
          </w:p>
        </w:tc>
      </w:tr>
    </w:tbl>
    <w:p/>
    <w:p>
      <w:pPr>
        <w:spacing w:line="360" w:lineRule="auto" w:after="80"/>
        <w:ind w:firstLine="420"/>
        <w:rPr>
          <w:rFonts w:ascii="仿宋_GB2312" w:hAnsi="仿宋_GB2312" w:eastAsia="仿宋_GB2312" w:cs="仿宋_GB2312"/>
          <w:sz w:val="24"/>
          <w:szCs w:val="24"/>
        </w:rPr>
      </w:pPr>
      <w:ins w:id="95" w:author="冯佳淇" w:date="2026-08-28T08:00:00Z">
        <w:r>
          <w:rPr>
            <w:rFonts w:ascii="仿宋_GB2312" w:hAnsi="仿宋_GB2312" w:eastAsia="仿宋_GB2312" w:cs="仿宋_GB2312"/>
            <w:sz w:val="24"/>
            <w:szCs w:val="24"/>
          </w:rPr>
          <w:t xml:space="preserve">原立项按6.78亿元整数列示，募说偿还明细合计6.778亿元（23兖投01为0.378亿元）。发行总额上限仍为不超过6.78亿元（含）。原立项“22兖投01发行利率7.00%、24兖投01为4.30%”等利率列募说用途表未列，本次不沿用，以免与申报稿不一致。</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十四、主要风险及应对</w:t>
      </w:r>
    </w:p>
    <w:p>
      <w:pPr>
        <w:spacing w:line="360" w:lineRule="auto" w:after="80"/>
        <w:ind w:firstLine="420"/>
        <w:rPr>
          <w:rFonts w:ascii="仿宋_GB2312" w:hAnsi="仿宋_GB2312" w:eastAsia="仿宋_GB2312" w:cs="仿宋_GB2312"/>
          <w:sz w:val="24"/>
          <w:szCs w:val="24"/>
        </w:rPr>
      </w:pPr>
      <w:ins w:id="96" w:author="冯佳淇" w:date="2026-08-28T08:00:00Z">
        <w:r>
          <w:rPr>
            <w:rFonts w:ascii="仿宋_GB2312" w:hAnsi="仿宋_GB2312" w:eastAsia="仿宋_GB2312" w:cs="仿宋_GB2312"/>
            <w:sz w:val="24"/>
            <w:szCs w:val="24"/>
          </w:rPr>
          <w:t xml:space="preserve">风险章节时点与募说重大事项对齐（截至2026年6月末 / 2024年、2025年、2026年1–6月）。募说未填处留空。</w:t>
        </w:r>
      </w:ins>
    </w:p>
    <w:p>
      <w:pPr>
        <w:spacing w:line="360" w:lineRule="auto" w:after="80"/>
        <w:ind w:firstLine="420"/>
        <w:rPr>
          <w:rFonts w:ascii="仿宋_GB2312" w:hAnsi="仿宋_GB2312" w:eastAsia="仿宋_GB2312" w:cs="仿宋_GB2312"/>
          <w:sz w:val="24"/>
          <w:szCs w:val="24"/>
        </w:rPr>
      </w:pPr>
      <w:del w:id="97" w:author="冯佳淇" w:date="2026-08-28T08:00:00Z">
        <w:r>
          <w:rPr>
            <w:rFonts w:ascii="仿宋_GB2312" w:hAnsi="仿宋_GB2312" w:eastAsia="仿宋_GB2312" w:cs="仿宋_GB2312"/>
            <w:sz w:val="24"/>
            <w:szCs w:val="24"/>
          </w:rPr>
          <w:delText xml:space="preserve">原立项风险定量多截至2025年末、仅列两年。以下改为最近两年及一期。</w:delText>
        </w:r>
      </w:del>
      <w:ins w:id="98" w:author="冯佳淇" w:date="2026-08-28T08:00:00Z">
        <w:r>
          <w:rPr>
            <w:rFonts w:ascii="仿宋_GB2312" w:hAnsi="仿宋_GB2312" w:eastAsia="仿宋_GB2312" w:cs="仿宋_GB2312"/>
            <w:sz w:val="24"/>
            <w:szCs w:val="24"/>
          </w:rPr>
          <w:t xml:space="preserve">1、政府性应收款：截至2026年6月末应收账款1,816,408.62万元、其他应收款676,091.96万元，合计2,492,500.58万元；占扣除重点关注资产后净资产比例为　　。2、非经营性其他应收款：截至2026年6月末其他应收款1,662,716.11万元，其中非经营性　　万元、占比　　。3、存货：各期末1,240,394.93万元、1,034,076.10万元和953,030.10万元。代建项目截至2026年6月末余额　　万元。5、受限资产截至2026年6月末　　亿元、占净资产　　。7、有息负债265.78亿元、246.20亿元和231.99亿元。8、截至2026年6月末短期借款与一年内到期非流动负债118.15亿元，占有息债务50.93%。9、非传统融资35.94亿元、50.70亿元和　　亿元。10、对外担保截至2026年6月末577,030.99万元、占净资产20.31%。11、EBITDA利息保障倍数0.63、1.40和　　。12、截至2026年6月末授信总额　　万元、已使用　　万元、剩余　　万元。13、投资活动现金流32,071.76万元、-171,537.97万元和8,180.33万元。14、经营现金流-707,296.19万元、551,756.69万元和17,644.06万元；筹资现金流725,842.49万元、-431,360.84万元和35,533.84万元。15、现金净增加额50,618.05万元、-51,142.12万元和61,358.22万元；期末余额75,375.01万元、24,232.89万元和85,591.11万元。16、期间费用142,537.04万元、128,585.67万元和58,169.56万元，费用率26.71%、37.53%和56.60%。17、净利润38,065.12万元、57,496.94万元和16,623.24万元；财政补贴179,575.68万元、170,935.79万元和84,271.18万元；占净利润比471.76%、297.30%和507.0%。18、投资性房地产公允价值变动-1,333.28万元、58.96万元和0.00万元。19、截至2026年6月末合并范围10家。20、市政工程占比37.52%、60.47%和88.29%。21、毛利率8.35%、12.37%和13.28%。22、应收账款周转率0.36、0.20和0.06，存货周转率0.31、0.26和0.09。24、土地使用权转让4,282.30万元、57,102.71万元和0万元。</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十五、人员配备</w:t>
      </w:r>
    </w:p>
    <w:tbl>
      <w:tblPr>
        <w:tblStyle w:val="TableGrid"/>
        <w:tblW w:type="auto" w:w="0"/>
        <w:tblLook w:firstColumn="1" w:firstRow="1" w:lastColumn="0" w:lastRow="0" w:noHBand="0" w:noVBand="1" w:val="04A0"/>
      </w:tblPr>
      <w:tblGrid>
        <w:gridCol w:w="1530"/>
        <w:gridCol w:w="1530"/>
        <w:gridCol w:w="1530"/>
        <w:gridCol w:w="1530"/>
        <w:gridCol w:w="1530"/>
        <w:gridCol w:w="1530"/>
      </w:tblGrid>
      <w:tr>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序号</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姓名</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职位</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学历</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经验年限</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工作内容</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余之悠</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尽调、申报材料、底稿、反馈及销售</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殷柏林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8</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尽调、申报材料、底稿、反馈及销售</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韦欣怡</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尽调、申报材料、底稿、反馈及销售</w:t>
            </w:r>
          </w:p>
        </w:tc>
      </w:tr>
    </w:tbl>
    <w:p/>
    <w:p>
      <w:pPr>
        <w:spacing w:line="360" w:lineRule="auto" w:after="80"/>
        <w:ind w:firstLine="420"/>
        <w:rPr>
          <w:rFonts w:ascii="仿宋_GB2312" w:hAnsi="仿宋_GB2312" w:eastAsia="仿宋_GB2312" w:cs="仿宋_GB2312"/>
          <w:sz w:val="24"/>
          <w:szCs w:val="24"/>
        </w:rPr>
      </w:pPr>
      <w:ins w:id="99" w:author="冯佳淇" w:date="2026-08-28T08:00:00Z">
        <w:r>
          <w:rPr>
            <w:rFonts w:ascii="仿宋_GB2312" w:hAnsi="仿宋_GB2312" w:eastAsia="仿宋_GB2312" w:cs="仿宋_GB2312"/>
            <w:sz w:val="24"/>
            <w:szCs w:val="24"/>
          </w:rPr>
          <w:t xml:space="preserve">募说甬兴证券联系人为殷柏林、路子博；德邦证券联系人为候子杰、孟祥绥、刘亚敏。立项人员表未列路子博及德邦承做人，是否增补请项目组决定。</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十六、项目时间安排表</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原安排：现场工作2026年4月中旬–6月下旬；内核2026年7月上旬–中旬；反馈注册2026年7月下旬–9月上旬；发行阶段2026年9月中旬–2027年8月中旬。</w:t>
      </w:r>
      <w:ins w:id="100" w:author="冯佳淇" w:date="2026-08-28T08:00:00Z">
        <w:r>
          <w:rPr>
            <w:rFonts w:ascii="仿宋_GB2312" w:hAnsi="仿宋_GB2312" w:eastAsia="仿宋_GB2312" w:cs="仿宋_GB2312"/>
            <w:sz w:val="24"/>
            <w:szCs w:val="24"/>
          </w:rPr>
          <w:t xml:space="preserve">目前已有完整募集说明书底稿（仍有若干【】及无异议函未填），现场及底稿阶段实际已完成。建议内核安排调整为2026年8月下旬–9月上旬，申报/反馈视内核及交易所进度确定。债券批文有效期1年，具体发行时点仍视公司需求及市场利率。</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十七、收费情况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本次债券承销费及受托管理报酬合计为0.20%/年，</w:t>
      </w:r>
      <w:del w:id="101" w:author="冯佳淇" w:date="2026-08-28T08:00:00Z">
        <w:r>
          <w:rPr>
            <w:rFonts w:ascii="仿宋_GB2312" w:hAnsi="仿宋_GB2312" w:eastAsia="仿宋_GB2312" w:cs="仿宋_GB2312"/>
            <w:sz w:val="24"/>
            <w:szCs w:val="24"/>
          </w:rPr>
          <w:delText xml:space="preserve">我司为主承销商、受托管理人。</w:delText>
        </w:r>
      </w:del>
      <w:ins w:id="102" w:author="冯佳淇" w:date="2026-08-28T08:00:00Z">
        <w:r>
          <w:rPr>
            <w:rFonts w:ascii="仿宋_GB2312" w:hAnsi="仿宋_GB2312" w:eastAsia="仿宋_GB2312" w:cs="仿宋_GB2312"/>
            <w:sz w:val="24"/>
            <w:szCs w:val="24"/>
          </w:rPr>
          <w:t xml:space="preserve">我司（甬兴证券）为牵头主承销商、受托管理人、簿记管理人，德邦证券为联席主承销商。</w:t>
        </w:r>
      </w:ins>
      <w:r>
        <w:rPr>
          <w:rFonts w:ascii="仿宋_GB2312" w:hAnsi="仿宋_GB2312" w:eastAsia="仿宋_GB2312" w:cs="仿宋_GB2312"/>
          <w:sz w:val="24"/>
          <w:szCs w:val="24"/>
        </w:rPr>
        <w:t xml:space="preserve">按获批规模67,800万元、期限5年测算，本项目预计收入为678万元。</w:t>
      </w:r>
      <w:ins w:id="103" w:author="冯佳淇" w:date="2026-08-28T08:00:00Z">
        <w:r>
          <w:rPr>
            <w:rFonts w:ascii="仿宋_GB2312" w:hAnsi="仿宋_GB2312" w:eastAsia="仿宋_GB2312" w:cs="仿宋_GB2312"/>
            <w:sz w:val="24"/>
            <w:szCs w:val="24"/>
          </w:rPr>
          <w:t xml:space="preserve">联席承销分润以承销协议为准，678万元为原立项按0.20%/年、5年的测算，本次不擅自改分成。</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十八、判断结论</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济宁市兖州区惠民城建投资有限公司符合非公开发行公司债券的基本条件。发行人属于济宁市兖州区国有资产监督管理局下属国有企业。偿债来源仍为自有资金、经营收入和外部筹资，但短期债务占比已升至50.93%，对财政补贴依赖高；截至2026年6月末授信余额募说未填，不在结论中引用旧授信数。</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本次债券由我司作为</w:t>
      </w:r>
      <w:del w:id="104" w:author="冯佳淇" w:date="2026-08-28T08:00:00Z">
        <w:r>
          <w:rPr>
            <w:rFonts w:ascii="仿宋_GB2312" w:hAnsi="仿宋_GB2312" w:eastAsia="仿宋_GB2312" w:cs="仿宋_GB2312"/>
            <w:sz w:val="24"/>
            <w:szCs w:val="24"/>
          </w:rPr>
          <w:delText xml:space="preserve">独家主承销商、受托管理人，本次债券预计收益为678万元，将为公司带来较好收益。</w:delText>
        </w:r>
      </w:del>
      <w:ins w:id="105" w:author="冯佳淇" w:date="2026-08-28T08:00:00Z">
        <w:r>
          <w:rPr>
            <w:rFonts w:ascii="仿宋_GB2312" w:hAnsi="仿宋_GB2312" w:eastAsia="仿宋_GB2312" w:cs="仿宋_GB2312"/>
            <w:sz w:val="24"/>
            <w:szCs w:val="24"/>
          </w:rPr>
          <w:t xml:space="preserve">牵头主承销商、受托管理人、簿记管理人（德邦证券联席主承销），预计收益仍按678万元测算。</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综上，本项目风险总体可控，可操作性较强，可以为我司带来较为合理的收入，建议立项。</w:t>
      </w:r>
      <w:ins w:id="106" w:author="冯佳淇" w:date="2026-08-28T08:00:00Z">
        <w:r>
          <w:rPr>
            <w:rFonts w:ascii="仿宋_GB2312" w:hAnsi="仿宋_GB2312" w:eastAsia="仿宋_GB2312" w:cs="仿宋_GB2312"/>
            <w:sz w:val="24"/>
            <w:szCs w:val="24"/>
          </w:rPr>
          <w:t xml:space="preserve">前提是：发行条款以募说为准（期限不超过5年、双主承、债券无评级）；财务及授信以募说已填数为准；募说仍为【】的科目不得在立项中填假数。</w:t>
        </w:r>
      </w:ins>
    </w:p>
    <w:p>
      <w:pPr>
        <w:spacing w:line="360" w:lineRule="auto" w:after="80"/>
        <w:jc w:val="right"/>
        <w:rPr>
          <w:rFonts w:ascii="仿宋_GB2312" w:hAnsi="仿宋_GB2312" w:eastAsia="仿宋_GB2312" w:cs="仿宋_GB2312"/>
          <w:sz w:val="24"/>
          <w:szCs w:val="24"/>
        </w:rPr>
      </w:pPr>
      <w:ins w:id="107" w:author="冯佳淇" w:date="2026-08-28T08:00:00Z">
        <w:r>
          <w:rPr>
            <w:rFonts w:ascii="仿宋_GB2312" w:hAnsi="仿宋_GB2312" w:eastAsia="仿宋_GB2312" w:cs="仿宋_GB2312"/>
            <w:sz w:val="24"/>
            <w:szCs w:val="24"/>
          </w:rPr>
          <w:t xml:space="preserve">修订人：冯佳淇    修订日期：2026年8月28日</w:t>
        </w:r>
      </w:ins>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济宁市兖州区惠民城建投资有限公司非公开发行公司债券项目立项申请报告（修订稿）</dc:title>
  <dc:subject/>
  <dc:creator>冯佳淇</dc:creator>
  <cp:keywords/>
  <dc:description>根据2026年募集说明书修订；修订人冯佳淇；已开启修订模式</dc:description>
  <cp:lastModifiedBy>冯佳淇</cp:lastModifiedBy>
  <cp:revision>2</cp:revision>
  <dcterms:created xsi:type="dcterms:W3CDTF">2026-05-13T00:00:00Z</dcterms:created>
  <dcterms:modified xsi:type="dcterms:W3CDTF">2026-08-28T00:00:00Z</dcterms:modified>
  <cp:category/>
</cp:coreProperties>
</file>