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360" w:lineRule="auto"/>
        <w:jc w:val="center"/>
        <w:rPr>
          <w:rFonts w:ascii="仿宋_GB2312" w:hAnsi="仿宋_GB2312" w:eastAsia="仿宋_GB2312" w:cs="仿宋_GB2312"/>
          <w:sz w:val="36"/>
          <w:szCs w:val="36"/>
        </w:rPr>
      </w:pPr>
      <w:r>
        <w:rPr>
          <w:rFonts w:ascii="仿宋_GB2312" w:hAnsi="仿宋_GB2312" w:eastAsia="仿宋_GB2312" w:cs="仿宋_GB2312"/>
          <w:sz w:val="36"/>
          <w:szCs w:val="36"/>
          <w:b/>
          <w:bCs/>
        </w:rPr>
        <w:t xml:space="preserve">济宁市兖州区惠民城建投资有限公司</w:t>
      </w:r>
    </w:p>
    <w:p>
      <w:pPr>
        <w:spacing w:before="240" w:after="80" w:line="360" w:lineRule="auto"/>
        <w:jc w:val="center"/>
        <w:rPr>
          <w:rFonts w:ascii="仿宋_GB2312" w:hAnsi="仿宋_GB2312" w:eastAsia="仿宋_GB2312" w:cs="仿宋_GB2312"/>
          <w:sz w:val="36"/>
          <w:szCs w:val="36"/>
        </w:rPr>
      </w:pPr>
      <w:r>
        <w:rPr>
          <w:rFonts w:ascii="仿宋_GB2312" w:hAnsi="仿宋_GB2312" w:eastAsia="仿宋_GB2312" w:cs="仿宋_GB2312"/>
          <w:sz w:val="36"/>
          <w:szCs w:val="36"/>
          <w:b/>
          <w:bCs/>
        </w:rPr>
        <w:t xml:space="preserve">非公开发行公司债券项目</w:t>
      </w:r>
    </w:p>
    <w:p>
      <w:pPr>
        <w:spacing w:line="360" w:lineRule="auto" w:after="80"/>
        <w:jc w:val="center"/>
        <w:rPr>
          <w:rFonts w:ascii="仿宋_GB2312" w:hAnsi="仿宋_GB2312" w:eastAsia="仿宋_GB2312" w:cs="仿宋_GB2312"/>
          <w:sz w:val="36"/>
          <w:szCs w:val="36"/>
        </w:rPr>
      </w:pPr>
      <w:r>
        <w:rPr>
          <w:rFonts w:ascii="仿宋_GB2312" w:hAnsi="仿宋_GB2312" w:eastAsia="仿宋_GB2312" w:cs="仿宋_GB2312"/>
          <w:sz w:val="36"/>
          <w:szCs w:val="36"/>
          <w:b/>
          <w:bCs/>
        </w:rPr>
        <w:t xml:space="preserve">立项申请报告</w:t>
      </w:r>
      <w:ins w:id="2" w:author="冯佳淇" w:date="2026-08-28T08:00:00Z">
        <w:r>
          <w:rPr>
            <w:rFonts w:ascii="仿宋_GB2312" w:hAnsi="仿宋_GB2312" w:eastAsia="仿宋_GB2312" w:cs="仿宋_GB2312"/>
            <w:sz w:val="36"/>
            <w:szCs w:val="36"/>
            <w:b/>
          </w:rPr>
          <w:t xml:space="preserve">（根据募集说明书修订）</w:t>
        </w:r>
      </w:ins>
    </w:p>
    <w:p>
      <w:pPr>
        <w:spacing w:line="360" w:lineRule="auto" w:after="80"/>
        <w:rPr>
          <w:rFonts w:ascii="仿宋_GB2312" w:hAnsi="仿宋_GB2312" w:eastAsia="仿宋_GB2312" w:cs="仿宋_GB2312"/>
          <w:sz w:val="24"/>
          <w:szCs w:val="24"/>
        </w:rPr>
      </w:pPr>
      <w:r>
        <w:rPr>
          <w:rFonts w:ascii="仿宋_GB2312" w:hAnsi="仿宋_GB2312" w:eastAsia="仿宋_GB2312" w:cs="仿宋_GB2312"/>
          <w:sz w:val="24"/>
          <w:szCs w:val="24"/>
        </w:rPr>
        <w:t xml:space="preserve">所属部组：企业融资部    提交时间：</w:t>
      </w:r>
      <w:del w:id="3" w:author="冯佳淇" w:date="2026-08-28T08:00:00Z">
        <w:r>
          <w:rPr>
            <w:rFonts w:ascii="仿宋_GB2312" w:hAnsi="仿宋_GB2312" w:eastAsia="仿宋_GB2312" w:cs="仿宋_GB2312"/>
            <w:sz w:val="24"/>
            <w:szCs w:val="24"/>
          </w:rPr>
          <w:delText xml:space="preserve">2026年5月13日</w:delText>
        </w:r>
      </w:del>
      <w:ins w:id="4" w:author="冯佳淇" w:date="2026-08-28T08:00:00Z">
        <w:r>
          <w:rPr>
            <w:rFonts w:ascii="仿宋_GB2312" w:hAnsi="仿宋_GB2312" w:eastAsia="仿宋_GB2312" w:cs="仿宋_GB2312"/>
            <w:sz w:val="24"/>
            <w:szCs w:val="24"/>
          </w:rPr>
          <w:t xml:space="preserve">2026年8月28日</w:t>
        </w:r>
      </w:ins>
      <w:ins w:id="5" w:author="冯佳淇" w:date="2026-08-28T08:00:00Z">
        <w:r>
          <w:rPr>
            <w:rFonts w:ascii="仿宋_GB2312" w:hAnsi="仿宋_GB2312" w:eastAsia="仿宋_GB2312" w:cs="仿宋_GB2312"/>
            <w:sz w:val="24"/>
            <w:szCs w:val="24"/>
          </w:rPr>
          <w:t xml:space="preserve">（原提交日期2026年5月13日，本次按募集说明书更新）</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修订说明（本次新增）</w:t>
      </w:r>
    </w:p>
    <w:p>
      <w:pPr>
        <w:spacing w:line="360" w:lineRule="auto" w:after="80"/>
        <w:ind w:firstLine="420"/>
        <w:rPr>
          <w:rFonts w:ascii="仿宋_GB2312" w:hAnsi="仿宋_GB2312" w:eastAsia="仿宋_GB2312" w:cs="仿宋_GB2312"/>
          <w:sz w:val="24"/>
          <w:szCs w:val="24"/>
        </w:rPr>
      </w:pPr>
      <w:ins w:id="6" w:author="冯佳淇" w:date="2026-08-28T08:00:00Z">
        <w:r>
          <w:rPr>
            <w:rFonts w:ascii="仿宋_GB2312" w:hAnsi="仿宋_GB2312" w:eastAsia="仿宋_GB2312" w:cs="仿宋_GB2312"/>
            <w:sz w:val="24"/>
            <w:szCs w:val="24"/>
          </w:rPr>
          <w:t xml:space="preserve">本修订对照《济宁市兖州区惠民城建投资有限公司2026年面向专业投资者非公开发行公司债券募集说明书》（216页稿，含2026年1–6月数据）。修订人：冯佳淇。Word已开启修订模式，删除/插入均留痕，便于审阅。募说封面评级机构写“大公国际”，发行条款/释义写“中证鹏元”；立项按发行条款采用中证鹏元。募说授信2024年末与2025年末合计数字相同（56.37亿元），与原立项2025年末明细合计62.27亿元不一致，本次按募说偿债章节“截至2025年末”口径调整，明细表请以募说第六节为准。</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一、客户名称</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济宁市兖州区惠民城建投资有限公司。</w:t>
      </w:r>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二、项目类型</w:t>
      </w:r>
    </w:p>
    <w:p>
      <w:pPr>
        <w:spacing w:line="360" w:lineRule="auto" w:after="80"/>
        <w:ind w:firstLine="420"/>
        <w:rPr>
          <w:rFonts w:ascii="仿宋_GB2312" w:hAnsi="仿宋_GB2312" w:eastAsia="仿宋_GB2312" w:cs="仿宋_GB2312"/>
          <w:sz w:val="24"/>
          <w:szCs w:val="24"/>
        </w:rPr>
      </w:pPr>
      <w:del w:id="7" w:author="冯佳淇" w:date="2026-08-28T08:00:00Z">
        <w:r>
          <w:rPr>
            <w:rFonts w:ascii="仿宋_GB2312" w:hAnsi="仿宋_GB2312" w:eastAsia="仿宋_GB2312" w:cs="仿宋_GB2312"/>
            <w:sz w:val="24"/>
            <w:szCs w:val="24"/>
          </w:rPr>
          <w:delText xml:space="preserve">非公开发行债券。</w:delText>
        </w:r>
      </w:del>
      <w:ins w:id="8" w:author="冯佳淇" w:date="2026-08-28T08:00:00Z">
        <w:r>
          <w:rPr>
            <w:rFonts w:ascii="仿宋_GB2312" w:hAnsi="仿宋_GB2312" w:eastAsia="仿宋_GB2312" w:cs="仿宋_GB2312"/>
            <w:sz w:val="24"/>
            <w:szCs w:val="24"/>
          </w:rPr>
          <w:t xml:space="preserve">面向专业投资者非公开发行公司债券。</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三、公司角色</w:t>
      </w:r>
    </w:p>
    <w:p>
      <w:pPr>
        <w:spacing w:line="360" w:lineRule="auto" w:after="80"/>
        <w:ind w:firstLine="420"/>
        <w:rPr>
          <w:rFonts w:ascii="仿宋_GB2312" w:hAnsi="仿宋_GB2312" w:eastAsia="仿宋_GB2312" w:cs="仿宋_GB2312"/>
          <w:sz w:val="24"/>
          <w:szCs w:val="24"/>
        </w:rPr>
      </w:pPr>
      <w:del w:id="9" w:author="冯佳淇" w:date="2026-08-28T08:00:00Z">
        <w:r>
          <w:rPr>
            <w:rFonts w:ascii="仿宋_GB2312" w:hAnsi="仿宋_GB2312" w:eastAsia="仿宋_GB2312" w:cs="仿宋_GB2312"/>
            <w:sz w:val="24"/>
            <w:szCs w:val="24"/>
          </w:rPr>
          <w:delText xml:space="preserve">主承销商、受托管理人。</w:delText>
        </w:r>
      </w:del>
      <w:ins w:id="10" w:author="冯佳淇" w:date="2026-08-28T08:00:00Z">
        <w:r>
          <w:rPr>
            <w:rFonts w:ascii="仿宋_GB2312" w:hAnsi="仿宋_GB2312" w:eastAsia="仿宋_GB2312" w:cs="仿宋_GB2312"/>
            <w:sz w:val="24"/>
            <w:szCs w:val="24"/>
          </w:rPr>
          <w:t xml:space="preserve">联席主承销商、受托管理人、簿记管理人（甬兴证券有限公司）；德邦证券股份有限公司为联席主承销商。</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四、承销方式</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本次债券由主承销商以余额包销的方式承销。</w:t>
      </w:r>
      <w:ins w:id="11" w:author="冯佳淇" w:date="2026-08-28T08:00:00Z">
        <w:r>
          <w:rPr>
            <w:rFonts w:ascii="仿宋_GB2312" w:hAnsi="仿宋_GB2312" w:eastAsia="仿宋_GB2312" w:cs="仿宋_GB2312"/>
            <w:sz w:val="24"/>
            <w:szCs w:val="24"/>
          </w:rPr>
          <w:t xml:space="preserve">发行方式为簿记建档发行。</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五、是否构成关联交易项目</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否。</w:t>
      </w:r>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六、是否存在聘请第三方中介机构的情形</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否。</w:t>
      </w:r>
      <w:ins w:id="12" w:author="冯佳淇" w:date="2026-08-28T08:00:00Z">
        <w:r>
          <w:rPr>
            <w:rFonts w:ascii="仿宋_GB2312" w:hAnsi="仿宋_GB2312" w:eastAsia="仿宋_GB2312" w:cs="仿宋_GB2312"/>
            <w:sz w:val="24"/>
            <w:szCs w:val="24"/>
          </w:rPr>
          <w:t xml:space="preserve">（发行人已聘请山东恒正律师事务所出具法律意见、山东舜天信诚会计师事务所审计；上述为债券申报法定中介，不属于承销商另聘第三方协助尽调。）</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七、项目主要条款设计</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1、发行主体：济宁市兖州区惠民城建投资有限公司。</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2、债券全称：</w:t>
      </w:r>
      <w:ins w:id="13" w:author="冯佳淇" w:date="2026-08-28T08:00:00Z">
        <w:r>
          <w:rPr>
            <w:rFonts w:ascii="仿宋_GB2312" w:hAnsi="仿宋_GB2312" w:eastAsia="仿宋_GB2312" w:cs="仿宋_GB2312"/>
            <w:sz w:val="24"/>
            <w:szCs w:val="24"/>
          </w:rPr>
          <w:t xml:space="preserve">济宁市兖州区惠民城建投资有限公司2026年面向专业投资者非公开发行公司债券。</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3、发行规模：本次债券</w:t>
      </w:r>
      <w:del w:id="14" w:author="冯佳淇" w:date="2026-08-28T08:00:00Z">
        <w:r>
          <w:rPr>
            <w:rFonts w:ascii="仿宋_GB2312" w:hAnsi="仿宋_GB2312" w:eastAsia="仿宋_GB2312" w:cs="仿宋_GB2312"/>
            <w:sz w:val="24"/>
            <w:szCs w:val="24"/>
          </w:rPr>
          <w:delText xml:space="preserve">总规模</w:delText>
        </w:r>
      </w:del>
      <w:ins w:id="15" w:author="冯佳淇" w:date="2026-08-28T08:00:00Z">
        <w:r>
          <w:rPr>
            <w:rFonts w:ascii="仿宋_GB2312" w:hAnsi="仿宋_GB2312" w:eastAsia="仿宋_GB2312" w:cs="仿宋_GB2312"/>
            <w:sz w:val="24"/>
            <w:szCs w:val="24"/>
          </w:rPr>
          <w:t xml:space="preserve">发行总额</w:t>
        </w:r>
      </w:ins>
      <w:r>
        <w:rPr>
          <w:rFonts w:ascii="仿宋_GB2312" w:hAnsi="仿宋_GB2312" w:eastAsia="仿宋_GB2312" w:cs="仿宋_GB2312"/>
          <w:sz w:val="24"/>
          <w:szCs w:val="24"/>
        </w:rPr>
        <w:t xml:space="preserve">不超过6.78亿元（含6.78亿元）。</w:t>
      </w:r>
      <w:ins w:id="16" w:author="冯佳淇" w:date="2026-08-28T08:00:00Z">
        <w:r>
          <w:rPr>
            <w:rFonts w:ascii="仿宋_GB2312" w:hAnsi="仿宋_GB2312" w:eastAsia="仿宋_GB2312" w:cs="仿宋_GB2312"/>
            <w:sz w:val="24"/>
            <w:szCs w:val="24"/>
          </w:rPr>
          <w:t xml:space="preserve">拟采取分期方式发行。挂牌转让场所为上海证券交易所。</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4、债券期限：本次债券期限不超过</w:t>
      </w:r>
      <w:del w:id="17" w:author="冯佳淇" w:date="2026-08-28T08:00:00Z">
        <w:r>
          <w:rPr>
            <w:rFonts w:ascii="仿宋_GB2312" w:hAnsi="仿宋_GB2312" w:eastAsia="仿宋_GB2312" w:cs="仿宋_GB2312"/>
            <w:sz w:val="24"/>
            <w:szCs w:val="24"/>
          </w:rPr>
          <w:delText xml:space="preserve">10年（含10年），可为单一期限品种，也可为多种期限的混合品种。</w:delText>
        </w:r>
      </w:del>
      <w:ins w:id="18" w:author="冯佳淇" w:date="2026-08-28T08:00:00Z">
        <w:r>
          <w:rPr>
            <w:rFonts w:ascii="仿宋_GB2312" w:hAnsi="仿宋_GB2312" w:eastAsia="仿宋_GB2312" w:cs="仿宋_GB2312"/>
            <w:sz w:val="24"/>
            <w:szCs w:val="24"/>
          </w:rPr>
          <w:t xml:space="preserve">5年（含5年）。</w:t>
        </w:r>
      </w:ins>
      <w:ins w:id="19" w:author="冯佳淇" w:date="2026-08-28T08:00:00Z">
        <w:r>
          <w:rPr>
            <w:rFonts w:ascii="仿宋_GB2312" w:hAnsi="仿宋_GB2312" w:eastAsia="仿宋_GB2312" w:cs="仿宋_GB2312"/>
            <w:sz w:val="24"/>
            <w:szCs w:val="24"/>
          </w:rPr>
          <w:t xml:space="preserve">面值100元，按面值平价发行；固定利率，按年付息，到期一次还本。</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5、评级情况：公司主体评级AA+。</w:t>
      </w:r>
      <w:ins w:id="20" w:author="冯佳淇" w:date="2026-08-28T08:00:00Z">
        <w:r>
          <w:rPr>
            <w:rFonts w:ascii="仿宋_GB2312" w:hAnsi="仿宋_GB2312" w:eastAsia="仿宋_GB2312" w:cs="仿宋_GB2312"/>
            <w:sz w:val="24"/>
            <w:szCs w:val="24"/>
          </w:rPr>
          <w:t xml:space="preserve">经中证鹏元资信评估股份有限公司评定，评级展望为稳定（2024-10-30、2025-10-30均为AA+/稳定）；本次债券未评级。</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6、增信措施：无。</w:t>
      </w:r>
      <w:ins w:id="21" w:author="冯佳淇" w:date="2026-08-28T08:00:00Z">
        <w:r>
          <w:rPr>
            <w:rFonts w:ascii="仿宋_GB2312" w:hAnsi="仿宋_GB2312" w:eastAsia="仿宋_GB2312" w:cs="仿宋_GB2312"/>
            <w:sz w:val="24"/>
            <w:szCs w:val="24"/>
          </w:rPr>
          <w:t xml:space="preserve">本次债券不设定增信措施，为无担保债券。</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7、募集资金用途：本次债券募集资金扣除发行费用后，</w:t>
      </w:r>
      <w:del w:id="22" w:author="冯佳淇" w:date="2026-08-28T08:00:00Z">
        <w:r>
          <w:rPr>
            <w:rFonts w:ascii="仿宋_GB2312" w:hAnsi="仿宋_GB2312" w:eastAsia="仿宋_GB2312" w:cs="仿宋_GB2312"/>
            <w:sz w:val="24"/>
            <w:szCs w:val="24"/>
          </w:rPr>
          <w:delText xml:space="preserve">全部用于</w:delText>
        </w:r>
      </w:del>
      <w:ins w:id="23" w:author="冯佳淇" w:date="2026-08-28T08:00:00Z">
        <w:r>
          <w:rPr>
            <w:rFonts w:ascii="仿宋_GB2312" w:hAnsi="仿宋_GB2312" w:eastAsia="仿宋_GB2312" w:cs="仿宋_GB2312"/>
            <w:sz w:val="24"/>
            <w:szCs w:val="24"/>
          </w:rPr>
          <w:t xml:space="preserve">拟全部用于</w:t>
        </w:r>
      </w:ins>
      <w:r>
        <w:rPr>
          <w:rFonts w:ascii="仿宋_GB2312" w:hAnsi="仿宋_GB2312" w:eastAsia="仿宋_GB2312" w:cs="仿宋_GB2312"/>
          <w:sz w:val="24"/>
          <w:szCs w:val="24"/>
        </w:rPr>
        <w:t xml:space="preserve">偿还公司债券本金。</w:t>
      </w:r>
    </w:p>
    <w:p>
      <w:pPr>
        <w:spacing w:line="360" w:lineRule="auto" w:after="80"/>
        <w:ind w:firstLine="420"/>
        <w:rPr>
          <w:rFonts w:ascii="仿宋_GB2312" w:hAnsi="仿宋_GB2312" w:eastAsia="仿宋_GB2312" w:cs="仿宋_GB2312"/>
          <w:sz w:val="24"/>
          <w:szCs w:val="24"/>
        </w:rPr>
      </w:pPr>
      <w:ins w:id="24" w:author="冯佳淇" w:date="2026-08-28T08:00:00Z">
        <w:r>
          <w:rPr>
            <w:rFonts w:ascii="仿宋_GB2312" w:hAnsi="仿宋_GB2312" w:eastAsia="仿宋_GB2312" w:cs="仿宋_GB2312"/>
            <w:sz w:val="24"/>
            <w:szCs w:val="24"/>
          </w:rPr>
          <w:t xml:space="preserve">8、主承销商：甬兴证券有限公司、德邦证券股份有限公司。受托管理人、簿记管理人：甬兴证券有限公司。发行对象为专业投资者，每次发行对象不超过二百人。认购人不可进行债券质押式回购。</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八、发行人背景</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1、发行人概况（基本信息、沿革与原立项一致，本次不改）：中文名称济宁市兖州区惠民城建投资有限公司；法定代表人赵文广；注册资本及实缴资本人民币370,117.51万元；成立日期2002年6月24日；注册/办公地址济宁市兖州区建设西路（牛旺地质家园西邻）；统一社会信用代码91370882740225002D；控股股东济宁市济东投资发展集团有限公司（100%）；实际控制人济宁市兖州区国有资产监督管理局。</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2、发行人有息债务情况</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最近两年末，发行人有息负债余额分别为265.78亿元和</w:t>
      </w:r>
      <w:del w:id="25" w:author="冯佳淇" w:date="2026-08-28T08:00:00Z">
        <w:r>
          <w:rPr>
            <w:rFonts w:ascii="仿宋_GB2312" w:hAnsi="仿宋_GB2312" w:eastAsia="仿宋_GB2312" w:cs="仿宋_GB2312"/>
            <w:sz w:val="24"/>
            <w:szCs w:val="24"/>
          </w:rPr>
          <w:delText xml:space="preserve">251.47</w:delText>
        </w:r>
      </w:del>
      <w:ins w:id="26" w:author="冯佳淇" w:date="2026-08-28T08:00:00Z">
        <w:r>
          <w:rPr>
            <w:rFonts w:ascii="仿宋_GB2312" w:hAnsi="仿宋_GB2312" w:eastAsia="仿宋_GB2312" w:cs="仿宋_GB2312"/>
            <w:sz w:val="24"/>
            <w:szCs w:val="24"/>
          </w:rPr>
          <w:t xml:space="preserve">246.20</w:t>
        </w:r>
      </w:ins>
      <w:r>
        <w:rPr>
          <w:rFonts w:ascii="仿宋_GB2312" w:hAnsi="仿宋_GB2312" w:eastAsia="仿宋_GB2312" w:cs="仿宋_GB2312"/>
          <w:sz w:val="24"/>
          <w:szCs w:val="24"/>
        </w:rPr>
        <w:t xml:space="preserve">亿元，占同期末总负债的比例分别为66.59%和</w:t>
      </w:r>
      <w:del w:id="27" w:author="冯佳淇" w:date="2026-08-28T08:00:00Z">
        <w:r>
          <w:rPr>
            <w:rFonts w:ascii="仿宋_GB2312" w:hAnsi="仿宋_GB2312" w:eastAsia="仿宋_GB2312" w:cs="仿宋_GB2312"/>
            <w:sz w:val="24"/>
            <w:szCs w:val="24"/>
          </w:rPr>
          <w:delText xml:space="preserve">70.00%</w:delText>
        </w:r>
      </w:del>
      <w:ins w:id="28" w:author="冯佳淇" w:date="2026-08-28T08:00:00Z">
        <w:r>
          <w:rPr>
            <w:rFonts w:ascii="仿宋_GB2312" w:hAnsi="仿宋_GB2312" w:eastAsia="仿宋_GB2312" w:cs="仿宋_GB2312"/>
            <w:sz w:val="24"/>
            <w:szCs w:val="24"/>
          </w:rPr>
          <w:t xml:space="preserve">68.54%</w:t>
        </w:r>
      </w:ins>
      <w:r>
        <w:rPr>
          <w:rFonts w:ascii="仿宋_GB2312" w:hAnsi="仿宋_GB2312" w:eastAsia="仿宋_GB2312" w:cs="仿宋_GB2312"/>
          <w:sz w:val="24"/>
          <w:szCs w:val="24"/>
        </w:rPr>
        <w:t xml:space="preserve">。</w:t>
      </w:r>
      <w:ins w:id="29" w:author="冯佳淇" w:date="2026-08-28T08:00:00Z">
        <w:r>
          <w:rPr>
            <w:rFonts w:ascii="仿宋_GB2312" w:hAnsi="仿宋_GB2312" w:eastAsia="仿宋_GB2312" w:cs="仿宋_GB2312"/>
            <w:sz w:val="24"/>
            <w:szCs w:val="24"/>
          </w:rPr>
          <w:t xml:space="preserve">募集说明书补充：截至2026年6月末，有息负债231.99亿元，占总负债63.86%；其中短期借款与一年内到期的非流动负债合计118.15亿元，占期末有息债务50.93%。</w:t>
        </w:r>
      </w:ins>
    </w:p>
    <w:p>
      <w:pPr>
        <w:spacing w:line="360" w:lineRule="auto" w:after="80"/>
        <w:ind w:firstLine="420"/>
        <w:rPr>
          <w:rFonts w:ascii="仿宋_GB2312" w:hAnsi="仿宋_GB2312" w:eastAsia="仿宋_GB2312" w:cs="仿宋_GB2312"/>
          <w:sz w:val="24"/>
          <w:szCs w:val="24"/>
        </w:rPr>
      </w:pPr>
      <w:ins w:id="30" w:author="冯佳淇" w:date="2026-08-28T08:00:00Z">
        <w:r>
          <w:rPr>
            <w:rFonts w:ascii="仿宋_GB2312" w:hAnsi="仿宋_GB2312" w:eastAsia="仿宋_GB2312" w:cs="仿宋_GB2312"/>
            <w:sz w:val="24"/>
            <w:szCs w:val="24"/>
          </w:rPr>
          <w:t xml:space="preserve">原立项“最近一年末银行借款45.45亿元、占有息负债18.07%；银行借款与公司债券外其他公司信用类债券余额之和175.49亿元、占比69.79%”及分项明细表，与募说2025年末有息负债合计246.20亿元及大量【】未填分项并存。本次合计按募说调整；分项明细待募说补齐后替换，避免立项与申报稿两套数。</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3、发行人银行授信情况</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截至2025年末，发行人在各金融机构的授信额度总额为</w:t>
      </w:r>
      <w:del w:id="31" w:author="冯佳淇" w:date="2026-08-28T08:00:00Z">
        <w:r>
          <w:rPr>
            <w:rFonts w:ascii="仿宋_GB2312" w:hAnsi="仿宋_GB2312" w:eastAsia="仿宋_GB2312" w:cs="仿宋_GB2312"/>
            <w:sz w:val="24"/>
            <w:szCs w:val="24"/>
          </w:rPr>
          <w:delText xml:space="preserve">622,700.00</w:delText>
        </w:r>
      </w:del>
      <w:ins w:id="32" w:author="冯佳淇" w:date="2026-08-28T08:00:00Z">
        <w:r>
          <w:rPr>
            <w:rFonts w:ascii="仿宋_GB2312" w:hAnsi="仿宋_GB2312" w:eastAsia="仿宋_GB2312" w:cs="仿宋_GB2312"/>
            <w:sz w:val="24"/>
            <w:szCs w:val="24"/>
          </w:rPr>
          <w:t xml:space="preserve">563,700.00</w:t>
        </w:r>
      </w:ins>
      <w:r>
        <w:rPr>
          <w:rFonts w:ascii="仿宋_GB2312" w:hAnsi="仿宋_GB2312" w:eastAsia="仿宋_GB2312" w:cs="仿宋_GB2312"/>
          <w:sz w:val="24"/>
          <w:szCs w:val="24"/>
        </w:rPr>
        <w:t xml:space="preserve">万元，其中已使用额度为</w:t>
      </w:r>
      <w:del w:id="33" w:author="冯佳淇" w:date="2026-08-28T08:00:00Z">
        <w:r>
          <w:rPr>
            <w:rFonts w:ascii="仿宋_GB2312" w:hAnsi="仿宋_GB2312" w:eastAsia="仿宋_GB2312" w:cs="仿宋_GB2312"/>
            <w:sz w:val="24"/>
            <w:szCs w:val="24"/>
          </w:rPr>
          <w:delText xml:space="preserve">355,661.66</w:delText>
        </w:r>
      </w:del>
      <w:ins w:id="34" w:author="冯佳淇" w:date="2026-08-28T08:00:00Z">
        <w:r>
          <w:rPr>
            <w:rFonts w:ascii="仿宋_GB2312" w:hAnsi="仿宋_GB2312" w:eastAsia="仿宋_GB2312" w:cs="仿宋_GB2312"/>
            <w:sz w:val="24"/>
            <w:szCs w:val="24"/>
          </w:rPr>
          <w:t xml:space="preserve">501,094.91</w:t>
        </w:r>
      </w:ins>
      <w:r>
        <w:rPr>
          <w:rFonts w:ascii="仿宋_GB2312" w:hAnsi="仿宋_GB2312" w:eastAsia="仿宋_GB2312" w:cs="仿宋_GB2312"/>
          <w:sz w:val="24"/>
          <w:szCs w:val="24"/>
        </w:rPr>
        <w:t xml:space="preserve">万元，剩余授信余额为</w:t>
      </w:r>
      <w:del w:id="35" w:author="冯佳淇" w:date="2026-08-28T08:00:00Z">
        <w:r>
          <w:rPr>
            <w:rFonts w:ascii="仿宋_GB2312" w:hAnsi="仿宋_GB2312" w:eastAsia="仿宋_GB2312" w:cs="仿宋_GB2312"/>
            <w:sz w:val="24"/>
            <w:szCs w:val="24"/>
          </w:rPr>
          <w:delText xml:space="preserve">267,038.34</w:delText>
        </w:r>
      </w:del>
      <w:ins w:id="36" w:author="冯佳淇" w:date="2026-08-28T08:00:00Z">
        <w:r>
          <w:rPr>
            <w:rFonts w:ascii="仿宋_GB2312" w:hAnsi="仿宋_GB2312" w:eastAsia="仿宋_GB2312" w:cs="仿宋_GB2312"/>
            <w:sz w:val="24"/>
            <w:szCs w:val="24"/>
          </w:rPr>
          <w:t xml:space="preserve">62,605.09</w:t>
        </w:r>
      </w:ins>
      <w:r>
        <w:rPr>
          <w:rFonts w:ascii="仿宋_GB2312" w:hAnsi="仿宋_GB2312" w:eastAsia="仿宋_GB2312" w:cs="仿宋_GB2312"/>
          <w:sz w:val="24"/>
          <w:szCs w:val="24"/>
        </w:rPr>
        <w:t xml:space="preserve">万元。</w:t>
      </w:r>
      <w:ins w:id="37" w:author="冯佳淇" w:date="2026-08-28T08:00:00Z">
        <w:r>
          <w:rPr>
            <w:rFonts w:ascii="仿宋_GB2312" w:hAnsi="仿宋_GB2312" w:eastAsia="仿宋_GB2312" w:cs="仿宋_GB2312"/>
            <w:sz w:val="24"/>
            <w:szCs w:val="24"/>
          </w:rPr>
          <w:t xml:space="preserve">原立项银行明细表合计62.27亿元，与募说不一致；授信明细改以募说第六节表格为准。剩余授信由约26.70亿元降至约6.26亿元，可使用授信偏紧的风险加重。</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4、发行人对外担保情况</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截至2025年末，公司对外担保合计金额为549,656.68万元，占净资产的比例为19.27%。</w:t>
      </w:r>
      <w:ins w:id="38" w:author="冯佳淇" w:date="2026-08-28T08:00:00Z">
        <w:r>
          <w:rPr>
            <w:rFonts w:ascii="仿宋_GB2312" w:hAnsi="仿宋_GB2312" w:eastAsia="仿宋_GB2312" w:cs="仿宋_GB2312"/>
            <w:sz w:val="24"/>
            <w:szCs w:val="24"/>
          </w:rPr>
          <w:t xml:space="preserve">截至2026年6月末，对外担保合计577,030.99万元，占净资产20.31%。募说称担保对象主要为济宁市兖州区融通投资有限公司、济宁市济东投资发展集团有限公司等（担保明细较前期无重大变化）。</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5、发行人受限资产情况</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截至2025年末，公司受限资产合计为65.91亿元，占净资产的比例为23.11%（货币资金、存货、投资性房地产等，与募说一致）。</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6–8、关联往来、或有负债、业务构成</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报告期内营业收入由533,548.93万元降至342,590.80万元。市政工程业务2024年200,200.00万元（占37.52%）、2025年207,154.56万元（占60.47%）；商品销售由299,048.06万元降至49,730.46万元。</w:t>
      </w:r>
    </w:p>
    <w:p>
      <w:pPr>
        <w:spacing w:line="360" w:lineRule="auto" w:after="80"/>
        <w:ind w:firstLine="420"/>
        <w:rPr>
          <w:rFonts w:ascii="仿宋_GB2312" w:hAnsi="仿宋_GB2312" w:eastAsia="仿宋_GB2312" w:cs="仿宋_GB2312"/>
          <w:sz w:val="24"/>
          <w:szCs w:val="24"/>
        </w:rPr>
      </w:pPr>
      <w:ins w:id="39" w:author="冯佳淇" w:date="2026-08-28T08:00:00Z">
        <w:r>
          <w:rPr>
            <w:rFonts w:ascii="仿宋_GB2312" w:hAnsi="仿宋_GB2312" w:eastAsia="仿宋_GB2312" w:cs="仿宋_GB2312"/>
            <w:sz w:val="24"/>
            <w:szCs w:val="24"/>
          </w:rPr>
          <w:t xml:space="preserve">募说补充2026年1–6月：营业收入102,774.90万元，其中市政工程90,742.48万元（占88.29%）、商品销售8,019.50万元（占7.80%）。其他业务收入中，转让土地使用权2025年57,102.71万元（占16.67%），2024年仅4,282.30万元（占0.80%），2026年1–6月为0。原立项营业收入构成表未单列土地使用权转让，导致后续风险章节出现【】空缺。</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9、发行人子公司情况</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截至2025年末，发行人纳入合并范围的下属子公司有</w:t>
      </w:r>
      <w:del w:id="40" w:author="冯佳淇" w:date="2026-08-28T08:00:00Z">
        <w:r>
          <w:rPr>
            <w:rFonts w:ascii="仿宋_GB2312" w:hAnsi="仿宋_GB2312" w:eastAsia="仿宋_GB2312" w:cs="仿宋_GB2312"/>
            <w:sz w:val="24"/>
            <w:szCs w:val="24"/>
          </w:rPr>
          <w:delText xml:space="preserve">9家，其中一级子公司4家，二级子公司5家</w:delText>
        </w:r>
      </w:del>
      <w:ins w:id="41" w:author="冯佳淇" w:date="2026-08-28T08:00:00Z">
        <w:r>
          <w:rPr>
            <w:rFonts w:ascii="仿宋_GB2312" w:hAnsi="仿宋_GB2312" w:eastAsia="仿宋_GB2312" w:cs="仿宋_GB2312"/>
            <w:sz w:val="24"/>
            <w:szCs w:val="24"/>
          </w:rPr>
          <w:t xml:space="preserve">9家</w:t>
        </w:r>
      </w:ins>
      <w:r>
        <w:rPr>
          <w:rFonts w:ascii="仿宋_GB2312" w:hAnsi="仿宋_GB2312" w:eastAsia="仿宋_GB2312" w:cs="仿宋_GB2312"/>
          <w:sz w:val="24"/>
          <w:szCs w:val="24"/>
        </w:rPr>
        <w:t xml:space="preserve">。</w:t>
      </w:r>
      <w:ins w:id="42" w:author="冯佳淇" w:date="2026-08-28T08:00:00Z">
        <w:r>
          <w:rPr>
            <w:rFonts w:ascii="仿宋_GB2312" w:hAnsi="仿宋_GB2312" w:eastAsia="仿宋_GB2312" w:cs="仿宋_GB2312"/>
            <w:sz w:val="24"/>
            <w:szCs w:val="24"/>
          </w:rPr>
          <w:t xml:space="preserve">截至2026年6月末，募说口径为8家。原立项将兴隆文化园、惠丰产业、齐鲁文化、裕丰粮食四家列为重要子公司；募说仅认定惠丰产业为重要子公司。</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兴隆文化园截至2025年末资产总计12,009.79万元，负债合计</w:t>
      </w:r>
      <w:del w:id="43" w:author="冯佳淇" w:date="2026-08-28T08:00:00Z">
        <w:r>
          <w:rPr>
            <w:rFonts w:ascii="仿宋_GB2312" w:hAnsi="仿宋_GB2312" w:eastAsia="仿宋_GB2312" w:cs="仿宋_GB2312"/>
            <w:sz w:val="24"/>
            <w:szCs w:val="24"/>
          </w:rPr>
          <w:delText xml:space="preserve">4,8081.12</w:delText>
        </w:r>
      </w:del>
      <w:ins w:id="44" w:author="冯佳淇" w:date="2026-08-28T08:00:00Z">
        <w:r>
          <w:rPr>
            <w:rFonts w:ascii="仿宋_GB2312" w:hAnsi="仿宋_GB2312" w:eastAsia="仿宋_GB2312" w:cs="仿宋_GB2312"/>
            <w:sz w:val="24"/>
            <w:szCs w:val="24"/>
          </w:rPr>
          <w:t xml:space="preserve">48,081.12</w:t>
        </w:r>
      </w:ins>
      <w:r>
        <w:rPr>
          <w:rFonts w:ascii="仿宋_GB2312" w:hAnsi="仿宋_GB2312" w:eastAsia="仿宋_GB2312" w:cs="仿宋_GB2312"/>
          <w:sz w:val="24"/>
          <w:szCs w:val="24"/>
        </w:rPr>
        <w:t xml:space="preserve">万元，股东权益合计-36,071.34万元。</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惠丰产业截至2025年末总资产2,489,181.59万元、净资产862,384.90万元、负债1,626,796.69万元；2025年度营业收入107,925.54万元、净利润-32,631.76万元。与募说一致。</w:t>
      </w:r>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九、发行人主要财务数据及指标</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审计机构：山东舜天信诚会计师事务所（特殊普通合伙）。2024年、2025年审计报告文号分别为鲁舜审字[2025]第0182号、鲁舜审字[2026]第0270号，标准无保留意见。合并报表主要数据与募说一致的部分不重复全表粘贴。</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报告期内主要财务指标（募说“最近两年及一期”口径，修订原立项两年列）：</w:t>
      </w:r>
    </w:p>
    <w:tbl>
      <w:tblPr>
        <w:tblStyle w:val="TableGrid"/>
        <w:tblW w:type="auto" w:w="0"/>
        <w:tblLook w:firstColumn="1" w:firstRow="1" w:lastColumn="0" w:lastRow="0" w:noHBand="0" w:noVBand="1" w:val="04A0"/>
      </w:tblPr>
      <w:tblGrid>
        <w:gridCol w:w="2295"/>
        <w:gridCol w:w="2295"/>
        <w:gridCol w:w="2295"/>
        <w:gridCol w:w="2295"/>
      </w:tblGrid>
      <w:tr>
        <w:tc>
          <w:tcPr>
            <w:tcW w:type="dxa" w:w="2295"/>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项目</w:t>
            </w:r>
          </w:p>
        </w:tc>
        <w:tc>
          <w:tcPr>
            <w:tcW w:type="dxa" w:w="2295"/>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2026年6月末/1-6月</w:t>
            </w:r>
          </w:p>
        </w:tc>
        <w:tc>
          <w:tcPr>
            <w:tcW w:type="dxa" w:w="2295"/>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2025年度/末</w:t>
            </w:r>
          </w:p>
        </w:tc>
        <w:tc>
          <w:tcPr>
            <w:tcW w:type="dxa" w:w="2295"/>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2024年度/末</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总资产（亿元）</w:t>
            </w:r>
          </w:p>
        </w:tc>
        <w:tc>
          <w:tcPr>
            <w:tcW w:type="dxa" w:w="2295"/>
          </w:tcPr>
          <w:p>
            <w:pPr>
              <w:spacing w:line="360" w:lineRule="auto" w:after="80"/>
              <w:rPr>
                <w:rFonts w:ascii="仿宋_GB2312" w:hAnsi="仿宋_GB2312" w:eastAsia="仿宋_GB2312" w:cs="仿宋_GB2312"/>
                <w:sz w:val="20"/>
                <w:szCs w:val="20"/>
              </w:rPr>
            </w:pPr>
            <w:r/>
            <w:ins w:id="45" w:author="冯佳淇" w:date="2026-08-28T08:00:00Z">
              <w:r>
                <w:rPr>
                  <w:rFonts w:ascii="仿宋_GB2312" w:hAnsi="仿宋_GB2312" w:eastAsia="仿宋_GB2312" w:cs="仿宋_GB2312"/>
                  <w:sz w:val="20"/>
                  <w:szCs w:val="20"/>
                </w:rPr>
                <w:t xml:space="preserve">647.36</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644.41</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679.47</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总负债（亿元）</w:t>
            </w:r>
          </w:p>
        </w:tc>
        <w:tc>
          <w:tcPr>
            <w:tcW w:type="dxa" w:w="2295"/>
          </w:tcPr>
          <w:p>
            <w:pPr>
              <w:spacing w:line="360" w:lineRule="auto" w:after="80"/>
              <w:rPr>
                <w:rFonts w:ascii="仿宋_GB2312" w:hAnsi="仿宋_GB2312" w:eastAsia="仿宋_GB2312" w:cs="仿宋_GB2312"/>
                <w:sz w:val="20"/>
                <w:szCs w:val="20"/>
              </w:rPr>
            </w:pPr>
            <w:r/>
            <w:ins w:id="46" w:author="冯佳淇" w:date="2026-08-28T08:00:00Z">
              <w:r>
                <w:rPr>
                  <w:rFonts w:ascii="仿宋_GB2312" w:hAnsi="仿宋_GB2312" w:eastAsia="仿宋_GB2312" w:cs="仿宋_GB2312"/>
                  <w:sz w:val="20"/>
                  <w:szCs w:val="20"/>
                </w:rPr>
                <w:t xml:space="preserve">363.28</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359.22</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399.12</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全部债务（亿元）</w:t>
            </w:r>
          </w:p>
        </w:tc>
        <w:tc>
          <w:tcPr>
            <w:tcW w:type="dxa" w:w="2295"/>
          </w:tcPr>
          <w:p>
            <w:pPr>
              <w:spacing w:line="360" w:lineRule="auto" w:after="80"/>
              <w:rPr>
                <w:rFonts w:ascii="仿宋_GB2312" w:hAnsi="仿宋_GB2312" w:eastAsia="仿宋_GB2312" w:cs="仿宋_GB2312"/>
                <w:sz w:val="20"/>
                <w:szCs w:val="20"/>
              </w:rPr>
            </w:pPr>
            <w:r/>
            <w:ins w:id="47" w:author="冯佳淇" w:date="2026-08-28T08:00:00Z">
              <w:r>
                <w:rPr>
                  <w:rFonts w:ascii="仿宋_GB2312" w:hAnsi="仿宋_GB2312" w:eastAsia="仿宋_GB2312" w:cs="仿宋_GB2312"/>
                  <w:sz w:val="20"/>
                  <w:szCs w:val="20"/>
                </w:rPr>
                <w:t xml:space="preserve">258.79</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278.07</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301.23</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所有者权益（亿元）</w:t>
            </w:r>
          </w:p>
        </w:tc>
        <w:tc>
          <w:tcPr>
            <w:tcW w:type="dxa" w:w="2295"/>
          </w:tcPr>
          <w:p>
            <w:pPr>
              <w:spacing w:line="360" w:lineRule="auto" w:after="80"/>
              <w:rPr>
                <w:rFonts w:ascii="仿宋_GB2312" w:hAnsi="仿宋_GB2312" w:eastAsia="仿宋_GB2312" w:cs="仿宋_GB2312"/>
                <w:sz w:val="20"/>
                <w:szCs w:val="20"/>
              </w:rPr>
            </w:pPr>
            <w:r/>
            <w:ins w:id="48" w:author="冯佳淇" w:date="2026-08-28T08:00:00Z">
              <w:r>
                <w:rPr>
                  <w:rFonts w:ascii="仿宋_GB2312" w:hAnsi="仿宋_GB2312" w:eastAsia="仿宋_GB2312" w:cs="仿宋_GB2312"/>
                  <w:sz w:val="20"/>
                  <w:szCs w:val="20"/>
                </w:rPr>
                <w:t xml:space="preserve">284.08</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285.19</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280.35</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营业总收入（亿元）</w:t>
            </w:r>
          </w:p>
        </w:tc>
        <w:tc>
          <w:tcPr>
            <w:tcW w:type="dxa" w:w="2295"/>
          </w:tcPr>
          <w:p>
            <w:pPr>
              <w:spacing w:line="360" w:lineRule="auto" w:after="80"/>
              <w:rPr>
                <w:rFonts w:ascii="仿宋_GB2312" w:hAnsi="仿宋_GB2312" w:eastAsia="仿宋_GB2312" w:cs="仿宋_GB2312"/>
                <w:sz w:val="20"/>
                <w:szCs w:val="20"/>
              </w:rPr>
            </w:pPr>
            <w:r/>
            <w:ins w:id="49" w:author="冯佳淇" w:date="2026-08-28T08:00:00Z">
              <w:r>
                <w:rPr>
                  <w:rFonts w:ascii="仿宋_GB2312" w:hAnsi="仿宋_GB2312" w:eastAsia="仿宋_GB2312" w:cs="仿宋_GB2312"/>
                  <w:sz w:val="20"/>
                  <w:szCs w:val="20"/>
                </w:rPr>
                <w:t xml:space="preserve">10.28</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34.26</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53.35</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净利润（亿元）</w:t>
            </w:r>
          </w:p>
        </w:tc>
        <w:tc>
          <w:tcPr>
            <w:tcW w:type="dxa" w:w="2295"/>
          </w:tcPr>
          <w:p>
            <w:pPr>
              <w:spacing w:line="360" w:lineRule="auto" w:after="80"/>
              <w:rPr>
                <w:rFonts w:ascii="仿宋_GB2312" w:hAnsi="仿宋_GB2312" w:eastAsia="仿宋_GB2312" w:cs="仿宋_GB2312"/>
                <w:sz w:val="20"/>
                <w:szCs w:val="20"/>
              </w:rPr>
            </w:pPr>
            <w:r/>
            <w:ins w:id="50" w:author="冯佳淇" w:date="2026-08-28T08:00:00Z">
              <w:r>
                <w:rPr>
                  <w:rFonts w:ascii="仿宋_GB2312" w:hAnsi="仿宋_GB2312" w:eastAsia="仿宋_GB2312" w:cs="仿宋_GB2312"/>
                  <w:sz w:val="20"/>
                  <w:szCs w:val="20"/>
                </w:rPr>
                <w:t xml:space="preserve">1.66</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5.75</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3.81</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经营现金流净额（亿元）</w:t>
            </w:r>
          </w:p>
        </w:tc>
        <w:tc>
          <w:tcPr>
            <w:tcW w:type="dxa" w:w="2295"/>
          </w:tcPr>
          <w:p>
            <w:pPr>
              <w:spacing w:line="360" w:lineRule="auto" w:after="80"/>
              <w:rPr>
                <w:rFonts w:ascii="仿宋_GB2312" w:hAnsi="仿宋_GB2312" w:eastAsia="仿宋_GB2312" w:cs="仿宋_GB2312"/>
                <w:sz w:val="20"/>
                <w:szCs w:val="20"/>
              </w:rPr>
            </w:pPr>
            <w:r/>
            <w:ins w:id="51" w:author="冯佳淇" w:date="2026-08-28T08:00:00Z">
              <w:r>
                <w:rPr>
                  <w:rFonts w:ascii="仿宋_GB2312" w:hAnsi="仿宋_GB2312" w:eastAsia="仿宋_GB2312" w:cs="仿宋_GB2312"/>
                  <w:sz w:val="20"/>
                  <w:szCs w:val="20"/>
                </w:rPr>
                <w:t xml:space="preserve">1.76</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55.18</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-70.73</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流动比率</w:t>
            </w:r>
          </w:p>
        </w:tc>
        <w:tc>
          <w:tcPr>
            <w:tcW w:type="dxa" w:w="2295"/>
          </w:tcPr>
          <w:p>
            <w:pPr>
              <w:spacing w:line="360" w:lineRule="auto" w:after="80"/>
              <w:rPr>
                <w:rFonts w:ascii="仿宋_GB2312" w:hAnsi="仿宋_GB2312" w:eastAsia="仿宋_GB2312" w:cs="仿宋_GB2312"/>
                <w:sz w:val="20"/>
                <w:szCs w:val="20"/>
              </w:rPr>
            </w:pPr>
            <w:r/>
            <w:ins w:id="52" w:author="冯佳淇" w:date="2026-08-28T08:00:00Z">
              <w:r>
                <w:rPr>
                  <w:rFonts w:ascii="仿宋_GB2312" w:hAnsi="仿宋_GB2312" w:eastAsia="仿宋_GB2312" w:cs="仿宋_GB2312"/>
                  <w:sz w:val="20"/>
                  <w:szCs w:val="20"/>
                </w:rPr>
                <w:t xml:space="preserve">1.99</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2.50</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2.53</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速动比率</w:t>
            </w:r>
          </w:p>
        </w:tc>
        <w:tc>
          <w:tcPr>
            <w:tcW w:type="dxa" w:w="2295"/>
          </w:tcPr>
          <w:p>
            <w:pPr>
              <w:spacing w:line="360" w:lineRule="auto" w:after="80"/>
              <w:rPr>
                <w:rFonts w:ascii="仿宋_GB2312" w:hAnsi="仿宋_GB2312" w:eastAsia="仿宋_GB2312" w:cs="仿宋_GB2312"/>
                <w:sz w:val="20"/>
                <w:szCs w:val="20"/>
              </w:rPr>
            </w:pPr>
            <w:r/>
            <w:ins w:id="53" w:author="冯佳淇" w:date="2026-08-28T08:00:00Z">
              <w:r>
                <w:rPr>
                  <w:rFonts w:ascii="仿宋_GB2312" w:hAnsi="仿宋_GB2312" w:eastAsia="仿宋_GB2312" w:cs="仿宋_GB2312"/>
                  <w:sz w:val="20"/>
                  <w:szCs w:val="20"/>
                </w:rPr>
                <w:t xml:space="preserve">1.60</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1.97</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1.95</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资产负债率（%）</w:t>
            </w:r>
          </w:p>
        </w:tc>
        <w:tc>
          <w:tcPr>
            <w:tcW w:type="dxa" w:w="2295"/>
          </w:tcPr>
          <w:p>
            <w:pPr>
              <w:spacing w:line="360" w:lineRule="auto" w:after="80"/>
              <w:rPr>
                <w:rFonts w:ascii="仿宋_GB2312" w:hAnsi="仿宋_GB2312" w:eastAsia="仿宋_GB2312" w:cs="仿宋_GB2312"/>
                <w:sz w:val="20"/>
                <w:szCs w:val="20"/>
              </w:rPr>
            </w:pPr>
            <w:r/>
            <w:ins w:id="54" w:author="冯佳淇" w:date="2026-08-28T08:00:00Z">
              <w:r>
                <w:rPr>
                  <w:rFonts w:ascii="仿宋_GB2312" w:hAnsi="仿宋_GB2312" w:eastAsia="仿宋_GB2312" w:cs="仿宋_GB2312"/>
                  <w:sz w:val="20"/>
                  <w:szCs w:val="20"/>
                </w:rPr>
                <w:t xml:space="preserve">56.12</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55.74</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58.74</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营业毛利率（%）</w:t>
            </w:r>
          </w:p>
        </w:tc>
        <w:tc>
          <w:tcPr>
            <w:tcW w:type="dxa" w:w="2295"/>
          </w:tcPr>
          <w:p>
            <w:pPr>
              <w:spacing w:line="360" w:lineRule="auto" w:after="80"/>
              <w:rPr>
                <w:rFonts w:ascii="仿宋_GB2312" w:hAnsi="仿宋_GB2312" w:eastAsia="仿宋_GB2312" w:cs="仿宋_GB2312"/>
                <w:sz w:val="20"/>
                <w:szCs w:val="20"/>
              </w:rPr>
            </w:pPr>
            <w:r/>
            <w:ins w:id="55" w:author="冯佳淇" w:date="2026-08-28T08:00:00Z">
              <w:r>
                <w:rPr>
                  <w:rFonts w:ascii="仿宋_GB2312" w:hAnsi="仿宋_GB2312" w:eastAsia="仿宋_GB2312" w:cs="仿宋_GB2312"/>
                  <w:sz w:val="20"/>
                  <w:szCs w:val="20"/>
                </w:rPr>
                <w:t xml:space="preserve">13.28</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12.37</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8.35</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应收账款周转率</w:t>
            </w:r>
          </w:p>
        </w:tc>
        <w:tc>
          <w:tcPr>
            <w:tcW w:type="dxa" w:w="2295"/>
          </w:tcPr>
          <w:p>
            <w:pPr>
              <w:spacing w:line="360" w:lineRule="auto" w:after="80"/>
              <w:rPr>
                <w:rFonts w:ascii="仿宋_GB2312" w:hAnsi="仿宋_GB2312" w:eastAsia="仿宋_GB2312" w:cs="仿宋_GB2312"/>
                <w:sz w:val="20"/>
                <w:szCs w:val="20"/>
              </w:rPr>
            </w:pPr>
            <w:r/>
            <w:ins w:id="56" w:author="冯佳淇" w:date="2026-08-28T08:00:00Z">
              <w:r>
                <w:rPr>
                  <w:rFonts w:ascii="仿宋_GB2312" w:hAnsi="仿宋_GB2312" w:eastAsia="仿宋_GB2312" w:cs="仿宋_GB2312"/>
                  <w:sz w:val="20"/>
                  <w:szCs w:val="20"/>
                </w:rPr>
                <w:t xml:space="preserve">0.06</w:t>
              </w:r>
            </w:ins>
          </w:p>
        </w:tc>
        <w:tc>
          <w:tcPr>
            <w:tcW w:type="dxa" w:w="2295"/>
          </w:tcPr>
          <w:p>
            <w:pPr>
              <w:spacing w:line="360" w:lineRule="auto" w:after="80"/>
              <w:rPr>
                <w:rFonts w:ascii="仿宋_GB2312" w:hAnsi="仿宋_GB2312" w:eastAsia="仿宋_GB2312" w:cs="仿宋_GB2312"/>
                <w:sz w:val="20"/>
                <w:szCs w:val="20"/>
              </w:rPr>
            </w:pPr>
            <w:r/>
            <w:del w:id="57" w:author="冯佳淇" w:date="2026-08-28T08:00:00Z">
              <w:r>
                <w:rPr>
                  <w:rFonts w:ascii="仿宋_GB2312" w:hAnsi="仿宋_GB2312" w:eastAsia="仿宋_GB2312" w:cs="仿宋_GB2312"/>
                  <w:sz w:val="20"/>
                  <w:szCs w:val="20"/>
                </w:rPr>
                <w:delText xml:space="preserve">0.05</w:delText>
              </w:r>
            </w:del>
            <w:ins w:id="58" w:author="冯佳淇" w:date="2026-08-28T08:00:00Z">
              <w:r>
                <w:rPr>
                  <w:rFonts w:ascii="仿宋_GB2312" w:hAnsi="仿宋_GB2312" w:eastAsia="仿宋_GB2312" w:cs="仿宋_GB2312"/>
                  <w:sz w:val="20"/>
                  <w:szCs w:val="20"/>
                </w:rPr>
                <w:t xml:space="preserve">0.20</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0.36</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存货周转率</w:t>
            </w:r>
          </w:p>
        </w:tc>
        <w:tc>
          <w:tcPr>
            <w:tcW w:type="dxa" w:w="2295"/>
          </w:tcPr>
          <w:p>
            <w:pPr>
              <w:spacing w:line="360" w:lineRule="auto" w:after="80"/>
              <w:rPr>
                <w:rFonts w:ascii="仿宋_GB2312" w:hAnsi="仿宋_GB2312" w:eastAsia="仿宋_GB2312" w:cs="仿宋_GB2312"/>
                <w:sz w:val="20"/>
                <w:szCs w:val="20"/>
              </w:rPr>
            </w:pPr>
            <w:r/>
            <w:ins w:id="59" w:author="冯佳淇" w:date="2026-08-28T08:00:00Z">
              <w:r>
                <w:rPr>
                  <w:rFonts w:ascii="仿宋_GB2312" w:hAnsi="仿宋_GB2312" w:eastAsia="仿宋_GB2312" w:cs="仿宋_GB2312"/>
                  <w:sz w:val="20"/>
                  <w:szCs w:val="20"/>
                </w:rPr>
                <w:t xml:space="preserve">0.09</w:t>
              </w:r>
            </w:ins>
          </w:p>
        </w:tc>
        <w:tc>
          <w:tcPr>
            <w:tcW w:type="dxa" w:w="2295"/>
          </w:tcPr>
          <w:p>
            <w:pPr>
              <w:spacing w:line="360" w:lineRule="auto" w:after="80"/>
              <w:rPr>
                <w:rFonts w:ascii="仿宋_GB2312" w:hAnsi="仿宋_GB2312" w:eastAsia="仿宋_GB2312" w:cs="仿宋_GB2312"/>
                <w:sz w:val="20"/>
                <w:szCs w:val="20"/>
              </w:rPr>
            </w:pPr>
            <w:r/>
            <w:del w:id="60" w:author="冯佳淇" w:date="2026-08-28T08:00:00Z">
              <w:r>
                <w:rPr>
                  <w:rFonts w:ascii="仿宋_GB2312" w:hAnsi="仿宋_GB2312" w:eastAsia="仿宋_GB2312" w:cs="仿宋_GB2312"/>
                  <w:sz w:val="20"/>
                  <w:szCs w:val="20"/>
                </w:rPr>
                <w:delText xml:space="preserve">0.20</w:delText>
              </w:r>
            </w:del>
            <w:ins w:id="61" w:author="冯佳淇" w:date="2026-08-28T08:00:00Z">
              <w:r>
                <w:rPr>
                  <w:rFonts w:ascii="仿宋_GB2312" w:hAnsi="仿宋_GB2312" w:eastAsia="仿宋_GB2312" w:cs="仿宋_GB2312"/>
                  <w:sz w:val="20"/>
                  <w:szCs w:val="20"/>
                </w:rPr>
                <w:t xml:space="preserve">0.26</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0.31</w:t>
            </w:r>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EBITDA全部债务比</w:t>
            </w:r>
          </w:p>
        </w:tc>
        <w:tc>
          <w:tcPr>
            <w:tcW w:type="dxa" w:w="2295"/>
          </w:tcPr>
          <w:p>
            <w:pPr>
              <w:spacing w:line="360" w:lineRule="auto" w:after="80"/>
              <w:rPr>
                <w:rFonts w:ascii="仿宋_GB2312" w:hAnsi="仿宋_GB2312" w:eastAsia="仿宋_GB2312" w:cs="仿宋_GB2312"/>
                <w:sz w:val="20"/>
                <w:szCs w:val="20"/>
              </w:rPr>
            </w:pPr>
            <w:r/>
            <w:ins w:id="62" w:author="冯佳淇" w:date="2026-08-28T08:00:00Z">
              <w:r>
                <w:rPr>
                  <w:rFonts w:ascii="仿宋_GB2312" w:hAnsi="仿宋_GB2312" w:eastAsia="仿宋_GB2312" w:cs="仿宋_GB2312"/>
                  <w:sz w:val="20"/>
                  <w:szCs w:val="20"/>
                </w:rPr>
                <w:t xml:space="preserve">募说【】未填</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7.13</w:t>
            </w:r>
          </w:p>
        </w:tc>
        <w:tc>
          <w:tcPr>
            <w:tcW w:type="dxa" w:w="2295"/>
          </w:tcPr>
          <w:p>
            <w:pPr>
              <w:spacing w:line="360" w:lineRule="auto" w:after="80"/>
              <w:rPr>
                <w:rFonts w:ascii="仿宋_GB2312" w:hAnsi="仿宋_GB2312" w:eastAsia="仿宋_GB2312" w:cs="仿宋_GB2312"/>
                <w:sz w:val="20"/>
                <w:szCs w:val="20"/>
              </w:rPr>
            </w:pPr>
            <w:r/>
            <w:del w:id="63" w:author="冯佳淇" w:date="2026-08-28T08:00:00Z">
              <w:r>
                <w:rPr>
                  <w:rFonts w:ascii="仿宋_GB2312" w:hAnsi="仿宋_GB2312" w:eastAsia="仿宋_GB2312" w:cs="仿宋_GB2312"/>
                  <w:sz w:val="20"/>
                  <w:szCs w:val="20"/>
                </w:rPr>
                <w:delText xml:space="preserve">0.04</w:delText>
              </w:r>
            </w:del>
            <w:ins w:id="64" w:author="冯佳淇" w:date="2026-08-28T08:00:00Z">
              <w:r>
                <w:rPr>
                  <w:rFonts w:ascii="仿宋_GB2312" w:hAnsi="仿宋_GB2312" w:eastAsia="仿宋_GB2312" w:cs="仿宋_GB2312"/>
                  <w:sz w:val="20"/>
                  <w:szCs w:val="20"/>
                </w:rPr>
                <w:t xml:space="preserve">4.42</w:t>
              </w:r>
            </w:ins>
          </w:p>
        </w:tc>
      </w:tr>
      <w:tr>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EBITDA利息保障倍数</w:t>
            </w:r>
          </w:p>
        </w:tc>
        <w:tc>
          <w:tcPr>
            <w:tcW w:type="dxa" w:w="2295"/>
          </w:tcPr>
          <w:p>
            <w:pPr>
              <w:spacing w:line="360" w:lineRule="auto" w:after="80"/>
              <w:rPr>
                <w:rFonts w:ascii="仿宋_GB2312" w:hAnsi="仿宋_GB2312" w:eastAsia="仿宋_GB2312" w:cs="仿宋_GB2312"/>
                <w:sz w:val="20"/>
                <w:szCs w:val="20"/>
              </w:rPr>
            </w:pPr>
            <w:r/>
            <w:ins w:id="65" w:author="冯佳淇" w:date="2026-08-28T08:00:00Z">
              <w:r>
                <w:rPr>
                  <w:rFonts w:ascii="仿宋_GB2312" w:hAnsi="仿宋_GB2312" w:eastAsia="仿宋_GB2312" w:cs="仿宋_GB2312"/>
                  <w:sz w:val="20"/>
                  <w:szCs w:val="20"/>
                </w:rPr>
                <w:t xml:space="preserve">募说【】未填</w:t>
              </w:r>
            </w:ins>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1.40</w:t>
            </w:r>
          </w:p>
        </w:tc>
        <w:tc>
          <w:tcPr>
            <w:tcW w:type="dxa" w:w="2295"/>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0.63</w:t>
            </w:r>
          </w:p>
        </w:tc>
      </w:tr>
    </w:tbl>
    <w:p/>
    <w:p>
      <w:pPr>
        <w:spacing w:line="360" w:lineRule="auto" w:after="80"/>
        <w:ind w:firstLine="420"/>
        <w:rPr>
          <w:rFonts w:ascii="仿宋_GB2312" w:hAnsi="仿宋_GB2312" w:eastAsia="仿宋_GB2312" w:cs="仿宋_GB2312"/>
          <w:sz w:val="24"/>
          <w:szCs w:val="24"/>
        </w:rPr>
      </w:pPr>
      <w:ins w:id="66" w:author="冯佳淇" w:date="2026-08-28T08:00:00Z">
        <w:r>
          <w:rPr>
            <w:rFonts w:ascii="仿宋_GB2312" w:hAnsi="仿宋_GB2312" w:eastAsia="仿宋_GB2312" w:cs="仿宋_GB2312"/>
            <w:sz w:val="24"/>
            <w:szCs w:val="24"/>
          </w:rPr>
          <w:t xml:space="preserve">说明：原立项2025年应收账款周转率0.05、存货周转率0.20，分别误用了总资产周转率及错误搭配；已按募说改为0.20、0.26。原立项2024年EBITDA全部债务比0.04，募说为4.42。</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十、发行可行性分析</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发行条件符合《公司法》《证券法》《公司债券发行与交易管理办法》等规定；发行人不属于《非公开发行公司债券项目承接负面清单指引（2024年修订）》禁止情形。本次债券仅面向专业投资者，每次发行对象不超过二百人。发行人拟聘请甬兴证券有限公司作为</w:t>
      </w:r>
      <w:del w:id="67" w:author="冯佳淇" w:date="2026-08-28T08:00:00Z">
        <w:r>
          <w:rPr>
            <w:rFonts w:ascii="仿宋_GB2312" w:hAnsi="仿宋_GB2312" w:eastAsia="仿宋_GB2312" w:cs="仿宋_GB2312"/>
            <w:sz w:val="24"/>
            <w:szCs w:val="24"/>
          </w:rPr>
          <w:delText xml:space="preserve">本次债券的主承销商</w:delText>
        </w:r>
      </w:del>
      <w:ins w:id="68" w:author="冯佳淇" w:date="2026-08-28T08:00:00Z">
        <w:r>
          <w:rPr>
            <w:rFonts w:ascii="仿宋_GB2312" w:hAnsi="仿宋_GB2312" w:eastAsia="仿宋_GB2312" w:cs="仿宋_GB2312"/>
            <w:sz w:val="24"/>
            <w:szCs w:val="24"/>
          </w:rPr>
          <w:t xml:space="preserve">牵头主承销商、受托管理人、簿记管理人</w:t>
        </w:r>
      </w:ins>
      <w:r>
        <w:rPr>
          <w:rFonts w:ascii="仿宋_GB2312" w:hAnsi="仿宋_GB2312" w:eastAsia="仿宋_GB2312" w:cs="仿宋_GB2312"/>
          <w:sz w:val="24"/>
          <w:szCs w:val="24"/>
        </w:rPr>
        <w:t xml:space="preserve">，</w:t>
      </w:r>
      <w:ins w:id="69" w:author="冯佳淇" w:date="2026-08-28T08:00:00Z">
        <w:r>
          <w:rPr>
            <w:rFonts w:ascii="仿宋_GB2312" w:hAnsi="仿宋_GB2312" w:eastAsia="仿宋_GB2312" w:cs="仿宋_GB2312"/>
            <w:sz w:val="24"/>
            <w:szCs w:val="24"/>
          </w:rPr>
          <w:t xml:space="preserve">并聘请德邦证券股份有限公司作为联席主承销商；</w:t>
        </w:r>
      </w:ins>
      <w:r>
        <w:rPr>
          <w:rFonts w:ascii="仿宋_GB2312" w:hAnsi="仿宋_GB2312" w:eastAsia="仿宋_GB2312" w:cs="仿宋_GB2312"/>
          <w:sz w:val="24"/>
          <w:szCs w:val="24"/>
        </w:rPr>
        <w:t xml:space="preserve">律师为山东恒正律师事务所。挂牌场所为上海证券交易所。</w:t>
      </w:r>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十一、发行人偿债能力分析</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报告期内各期末流动比率分别为2.53和2.50，速动比率分别为1.95和1.97；资产负债率分别为58.74%和55.74%；EBITDA利息保障倍数由0.63提升至1.40。</w:t>
      </w:r>
      <w:ins w:id="70" w:author="冯佳淇" w:date="2026-08-28T08:00:00Z">
        <w:r>
          <w:rPr>
            <w:rFonts w:ascii="仿宋_GB2312" w:hAnsi="仿宋_GB2312" w:eastAsia="仿宋_GB2312" w:cs="仿宋_GB2312"/>
            <w:sz w:val="24"/>
            <w:szCs w:val="24"/>
          </w:rPr>
          <w:t xml:space="preserve">2026年6月末流动比率1.99、速动比率1.60、资产负债率56.12%。募说2026年6月末EBITDA利息保障倍数仍为【】，未采信。</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偿债资金来源仍为自身运营收入、外部融资渠道及政府支持。授信剩余规模已按上文调整为62,605.09万元，对“通畅融资渠道”的表述需相应审慎，不可再简单沿用原立项“剩余授信26.70亿元”的乐观口径。</w:t>
      </w:r>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十二、债券担保情况</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本次债券无担保。</w:t>
      </w:r>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十三、本期债券募集资金用途</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本次公司债券募集资金扣除发行费用后，</w:t>
      </w:r>
      <w:del w:id="71" w:author="冯佳淇" w:date="2026-08-28T08:00:00Z">
        <w:r>
          <w:rPr>
            <w:rFonts w:ascii="仿宋_GB2312" w:hAnsi="仿宋_GB2312" w:eastAsia="仿宋_GB2312" w:cs="仿宋_GB2312"/>
            <w:sz w:val="24"/>
            <w:szCs w:val="24"/>
          </w:rPr>
          <w:delText xml:space="preserve">全部用于</w:delText>
        </w:r>
      </w:del>
      <w:ins w:id="72" w:author="冯佳淇" w:date="2026-08-28T08:00:00Z">
        <w:r>
          <w:rPr>
            <w:rFonts w:ascii="仿宋_GB2312" w:hAnsi="仿宋_GB2312" w:eastAsia="仿宋_GB2312" w:cs="仿宋_GB2312"/>
            <w:sz w:val="24"/>
            <w:szCs w:val="24"/>
          </w:rPr>
          <w:t xml:space="preserve">拟全部用于</w:t>
        </w:r>
      </w:ins>
      <w:r>
        <w:rPr>
          <w:rFonts w:ascii="仿宋_GB2312" w:hAnsi="仿宋_GB2312" w:eastAsia="仿宋_GB2312" w:cs="仿宋_GB2312"/>
          <w:sz w:val="24"/>
          <w:szCs w:val="24"/>
        </w:rPr>
        <w:t xml:space="preserve">偿还公司债券本金。发行人承诺不用于偿还公司到期公司债券本金以外用途，不涉及新增地方政府债务。明细按募说调整如下：</w:t>
      </w:r>
    </w:p>
    <w:tbl>
      <w:tblPr>
        <w:tblStyle w:val="TableGrid"/>
        <w:tblW w:type="auto" w:w="0"/>
        <w:tblLook w:firstColumn="1" w:firstRow="1" w:lastColumn="0" w:lastRow="0" w:noHBand="0" w:noVBand="1" w:val="04A0"/>
      </w:tblPr>
      <w:tblGrid>
        <w:gridCol w:w="1311"/>
        <w:gridCol w:w="1311"/>
        <w:gridCol w:w="1311"/>
        <w:gridCol w:w="1311"/>
        <w:gridCol w:w="1311"/>
        <w:gridCol w:w="1311"/>
        <w:gridCol w:w="1311"/>
      </w:tblGrid>
      <w:tr>
        <w:tc>
          <w:tcPr>
            <w:tcW w:type="dxa" w:w="1311"/>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债券简称</w:t>
            </w:r>
          </w:p>
        </w:tc>
        <w:tc>
          <w:tcPr>
            <w:tcW w:type="dxa" w:w="1311"/>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债券余额（亿元）</w:t>
            </w:r>
          </w:p>
        </w:tc>
        <w:tc>
          <w:tcPr>
            <w:tcW w:type="dxa" w:w="1311"/>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证券类别</w:t>
            </w:r>
          </w:p>
        </w:tc>
        <w:tc>
          <w:tcPr>
            <w:tcW w:type="dxa" w:w="1311"/>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起息日</w:t>
            </w:r>
          </w:p>
        </w:tc>
        <w:tc>
          <w:tcPr>
            <w:tcW w:type="dxa" w:w="1311"/>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回售日</w:t>
            </w:r>
          </w:p>
        </w:tc>
        <w:tc>
          <w:tcPr>
            <w:tcW w:type="dxa" w:w="1311"/>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到期日</w:t>
            </w:r>
          </w:p>
        </w:tc>
        <w:tc>
          <w:tcPr>
            <w:tcW w:type="dxa" w:w="1311"/>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拟使用募集资金（亿元）</w:t>
            </w:r>
          </w:p>
        </w:tc>
      </w:tr>
      <w:tr>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22兖投01</w:t>
            </w:r>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1.90</w:t>
            </w:r>
          </w:p>
        </w:tc>
        <w:tc>
          <w:tcPr>
            <w:tcW w:type="dxa" w:w="1311"/>
          </w:tcPr>
          <w:p>
            <w:pPr>
              <w:spacing w:line="360" w:lineRule="auto" w:after="80"/>
              <w:rPr>
                <w:rFonts w:ascii="仿宋_GB2312" w:hAnsi="仿宋_GB2312" w:eastAsia="仿宋_GB2312" w:cs="仿宋_GB2312"/>
                <w:sz w:val="20"/>
                <w:szCs w:val="20"/>
              </w:rPr>
            </w:pPr>
            <w:r/>
            <w:del w:id="73" w:author="冯佳淇" w:date="2026-08-28T08:00:00Z">
              <w:r>
                <w:rPr>
                  <w:rFonts w:ascii="仿宋_GB2312" w:hAnsi="仿宋_GB2312" w:eastAsia="仿宋_GB2312" w:cs="仿宋_GB2312"/>
                  <w:sz w:val="20"/>
                  <w:szCs w:val="20"/>
                </w:rPr>
                <w:delText xml:space="preserve">一般公司债</w:delText>
              </w:r>
            </w:del>
            <w:ins w:id="74" w:author="冯佳淇" w:date="2026-08-28T08:00:00Z">
              <w:r>
                <w:rPr>
                  <w:rFonts w:ascii="仿宋_GB2312" w:hAnsi="仿宋_GB2312" w:eastAsia="仿宋_GB2312" w:cs="仿宋_GB2312"/>
                  <w:sz w:val="20"/>
                  <w:szCs w:val="20"/>
                </w:rPr>
                <w:t xml:space="preserve">公司债券</w:t>
              </w:r>
            </w:ins>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2022-01-27</w:t>
            </w:r>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2025-01-27</w:t>
            </w:r>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2027-01-27</w:t>
            </w:r>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1.90</w:t>
            </w:r>
          </w:p>
        </w:tc>
      </w:tr>
      <w:tr>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23兖投01</w:t>
            </w:r>
          </w:p>
        </w:tc>
        <w:tc>
          <w:tcPr>
            <w:tcW w:type="dxa" w:w="1311"/>
          </w:tcPr>
          <w:p>
            <w:pPr>
              <w:spacing w:line="360" w:lineRule="auto" w:after="80"/>
              <w:rPr>
                <w:rFonts w:ascii="仿宋_GB2312" w:hAnsi="仿宋_GB2312" w:eastAsia="仿宋_GB2312" w:cs="仿宋_GB2312"/>
                <w:sz w:val="20"/>
                <w:szCs w:val="20"/>
              </w:rPr>
            </w:pPr>
            <w:r/>
            <w:del w:id="75" w:author="冯佳淇" w:date="2026-08-28T08:00:00Z">
              <w:r>
                <w:rPr>
                  <w:rFonts w:ascii="仿宋_GB2312" w:hAnsi="仿宋_GB2312" w:eastAsia="仿宋_GB2312" w:cs="仿宋_GB2312"/>
                  <w:sz w:val="20"/>
                  <w:szCs w:val="20"/>
                </w:rPr>
                <w:delText xml:space="preserve">0.38</w:delText>
              </w:r>
            </w:del>
            <w:ins w:id="76" w:author="冯佳淇" w:date="2026-08-28T08:00:00Z">
              <w:r>
                <w:rPr>
                  <w:rFonts w:ascii="仿宋_GB2312" w:hAnsi="仿宋_GB2312" w:eastAsia="仿宋_GB2312" w:cs="仿宋_GB2312"/>
                  <w:sz w:val="20"/>
                  <w:szCs w:val="20"/>
                </w:rPr>
                <w:t xml:space="preserve">0.378</w:t>
              </w:r>
            </w:ins>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非公开发行公司债券</w:t>
            </w:r>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2023-03-14</w:t>
            </w:r>
          </w:p>
        </w:tc>
        <w:tc>
          <w:tcPr>
            <w:tcW w:type="dxa" w:w="1311"/>
          </w:tcPr>
          <w:p>
            <w:pPr>
              <w:spacing w:line="360" w:lineRule="auto" w:after="80"/>
              <w:rPr>
                <w:rFonts w:ascii="仿宋_GB2312" w:hAnsi="仿宋_GB2312" w:eastAsia="仿宋_GB2312" w:cs="仿宋_GB2312"/>
                <w:sz w:val="20"/>
                <w:szCs w:val="20"/>
              </w:rPr>
            </w:pPr>
            <w:r/>
            <w:del w:id="77" w:author="冯佳淇" w:date="2026-08-28T08:00:00Z">
              <w:r>
                <w:rPr>
                  <w:rFonts w:ascii="仿宋_GB2312" w:hAnsi="仿宋_GB2312" w:eastAsia="仿宋_GB2312" w:cs="仿宋_GB2312"/>
                  <w:sz w:val="20"/>
                  <w:szCs w:val="20"/>
                </w:rPr>
                <w:delText xml:space="preserve">2027-3-14</w:delText>
              </w:r>
            </w:del>
            <w:ins w:id="78" w:author="冯佳淇" w:date="2026-08-28T08:00:00Z">
              <w:r>
                <w:rPr>
                  <w:rFonts w:ascii="仿宋_GB2312" w:hAnsi="仿宋_GB2312" w:eastAsia="仿宋_GB2312" w:cs="仿宋_GB2312"/>
                  <w:sz w:val="20"/>
                  <w:szCs w:val="20"/>
                </w:rPr>
                <w:t xml:space="preserve">2025-03-14；2027-03-14</w:t>
              </w:r>
            </w:ins>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2028-03-14</w:t>
            </w:r>
          </w:p>
        </w:tc>
        <w:tc>
          <w:tcPr>
            <w:tcW w:type="dxa" w:w="1311"/>
          </w:tcPr>
          <w:p>
            <w:pPr>
              <w:spacing w:line="360" w:lineRule="auto" w:after="80"/>
              <w:rPr>
                <w:rFonts w:ascii="仿宋_GB2312" w:hAnsi="仿宋_GB2312" w:eastAsia="仿宋_GB2312" w:cs="仿宋_GB2312"/>
                <w:sz w:val="20"/>
                <w:szCs w:val="20"/>
              </w:rPr>
            </w:pPr>
            <w:r/>
            <w:ins w:id="79" w:author="冯佳淇" w:date="2026-08-28T08:00:00Z">
              <w:r>
                <w:rPr>
                  <w:rFonts w:ascii="仿宋_GB2312" w:hAnsi="仿宋_GB2312" w:eastAsia="仿宋_GB2312" w:cs="仿宋_GB2312"/>
                  <w:sz w:val="20"/>
                  <w:szCs w:val="20"/>
                </w:rPr>
                <w:t xml:space="preserve">0.378</w:t>
              </w:r>
            </w:ins>
          </w:p>
        </w:tc>
      </w:tr>
      <w:tr>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24兖投01</w:t>
            </w:r>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3.10</w:t>
            </w:r>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非公开发行公司债券</w:t>
            </w:r>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2024-04-25</w:t>
            </w:r>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2027-04-25</w:t>
            </w:r>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2029-04-25</w:t>
            </w:r>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3.10</w:t>
            </w:r>
          </w:p>
        </w:tc>
      </w:tr>
      <w:tr>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22兖州01</w:t>
            </w:r>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1.40</w:t>
            </w:r>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非公开发行公司债券</w:t>
            </w:r>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2022-05-24</w:t>
            </w:r>
          </w:p>
        </w:tc>
        <w:tc>
          <w:tcPr>
            <w:tcW w:type="dxa" w:w="1311"/>
          </w:tcPr>
          <w:p>
            <w:pPr>
              <w:spacing w:line="360" w:lineRule="auto" w:after="80"/>
              <w:rPr>
                <w:rFonts w:ascii="仿宋_GB2312" w:hAnsi="仿宋_GB2312" w:eastAsia="仿宋_GB2312" w:cs="仿宋_GB2312"/>
                <w:sz w:val="20"/>
                <w:szCs w:val="20"/>
              </w:rPr>
            </w:pPr>
            <w:r/>
            <w:del w:id="80" w:author="冯佳淇" w:date="2026-08-28T08:00:00Z">
              <w:r>
                <w:rPr>
                  <w:rFonts w:ascii="仿宋_GB2312" w:hAnsi="仿宋_GB2312" w:eastAsia="仿宋_GB2312" w:cs="仿宋_GB2312"/>
                  <w:sz w:val="20"/>
                  <w:szCs w:val="20"/>
                </w:rPr>
                <w:delText xml:space="preserve">2026-5-24</w:delText>
              </w:r>
            </w:del>
            <w:ins w:id="81" w:author="冯佳淇" w:date="2026-08-28T08:00:00Z">
              <w:r>
                <w:rPr>
                  <w:rFonts w:ascii="仿宋_GB2312" w:hAnsi="仿宋_GB2312" w:eastAsia="仿宋_GB2312" w:cs="仿宋_GB2312"/>
                  <w:sz w:val="20"/>
                  <w:szCs w:val="20"/>
                </w:rPr>
                <w:t xml:space="preserve">2024-05-24；2026-05-24</w:t>
              </w:r>
            </w:ins>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2027-05-24</w:t>
            </w:r>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1.40</w:t>
            </w:r>
          </w:p>
        </w:tc>
      </w:tr>
      <w:tr>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合计</w:t>
            </w:r>
          </w:p>
        </w:tc>
        <w:tc>
          <w:tcPr>
            <w:tcW w:type="dxa" w:w="1311"/>
          </w:tcPr>
          <w:p>
            <w:pPr>
              <w:spacing w:line="360" w:lineRule="auto" w:after="80"/>
              <w:rPr>
                <w:rFonts w:ascii="仿宋_GB2312" w:hAnsi="仿宋_GB2312" w:eastAsia="仿宋_GB2312" w:cs="仿宋_GB2312"/>
                <w:sz w:val="20"/>
                <w:szCs w:val="20"/>
              </w:rPr>
            </w:pPr>
            <w:r/>
            <w:del w:id="82" w:author="冯佳淇" w:date="2026-08-28T08:00:00Z">
              <w:r>
                <w:rPr>
                  <w:rFonts w:ascii="仿宋_GB2312" w:hAnsi="仿宋_GB2312" w:eastAsia="仿宋_GB2312" w:cs="仿宋_GB2312"/>
                  <w:sz w:val="20"/>
                  <w:szCs w:val="20"/>
                </w:rPr>
                <w:delText xml:space="preserve">6.78</w:delText>
              </w:r>
            </w:del>
            <w:ins w:id="83" w:author="冯佳淇" w:date="2026-08-28T08:00:00Z">
              <w:r>
                <w:rPr>
                  <w:rFonts w:ascii="仿宋_GB2312" w:hAnsi="仿宋_GB2312" w:eastAsia="仿宋_GB2312" w:cs="仿宋_GB2312"/>
                  <w:sz w:val="20"/>
                  <w:szCs w:val="20"/>
                </w:rPr>
                <w:t xml:space="preserve">6.778</w:t>
              </w:r>
            </w:ins>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w:t>
            </w:r>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w:t>
            </w:r>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w:t>
            </w:r>
          </w:p>
        </w:tc>
        <w:tc>
          <w:tcPr>
            <w:tcW w:type="dxa" w:w="1311"/>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w:t>
            </w:r>
          </w:p>
        </w:tc>
        <w:tc>
          <w:tcPr>
            <w:tcW w:type="dxa" w:w="1311"/>
          </w:tcPr>
          <w:p>
            <w:pPr>
              <w:spacing w:line="360" w:lineRule="auto" w:after="80"/>
              <w:rPr>
                <w:rFonts w:ascii="仿宋_GB2312" w:hAnsi="仿宋_GB2312" w:eastAsia="仿宋_GB2312" w:cs="仿宋_GB2312"/>
                <w:sz w:val="20"/>
                <w:szCs w:val="20"/>
              </w:rPr>
            </w:pPr>
            <w:r/>
            <w:ins w:id="84" w:author="冯佳淇" w:date="2026-08-28T08:00:00Z">
              <w:r>
                <w:rPr>
                  <w:rFonts w:ascii="仿宋_GB2312" w:hAnsi="仿宋_GB2312" w:eastAsia="仿宋_GB2312" w:cs="仿宋_GB2312"/>
                  <w:sz w:val="20"/>
                  <w:szCs w:val="20"/>
                </w:rPr>
                <w:t xml:space="preserve">6.778</w:t>
              </w:r>
            </w:ins>
          </w:p>
        </w:tc>
      </w:tr>
    </w:tbl>
    <w:p/>
    <w:p>
      <w:pPr>
        <w:spacing w:line="360" w:lineRule="auto" w:after="80"/>
        <w:ind w:firstLine="420"/>
        <w:rPr>
          <w:rFonts w:ascii="仿宋_GB2312" w:hAnsi="仿宋_GB2312" w:eastAsia="仿宋_GB2312" w:cs="仿宋_GB2312"/>
          <w:sz w:val="24"/>
          <w:szCs w:val="24"/>
        </w:rPr>
      </w:pPr>
      <w:ins w:id="85" w:author="冯佳淇" w:date="2026-08-28T08:00:00Z">
        <w:r>
          <w:rPr>
            <w:rFonts w:ascii="仿宋_GB2312" w:hAnsi="仿宋_GB2312" w:eastAsia="仿宋_GB2312" w:cs="仿宋_GB2312"/>
            <w:sz w:val="24"/>
            <w:szCs w:val="24"/>
          </w:rPr>
          <w:t xml:space="preserve">原立项按6.78亿元整数列示，募说偿还明细合计6.778亿元（23兖投01为0.378亿元）。发行总额上限仍为不超过6.78亿元（含）。原立项“22兖投01发行利率7.00%、24兖投01为4.30%”等利率列募说用途表未列，本次不沿用，以免与申报稿不一致。</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十四、主要风险及应对</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原立项列示26项风险。本次按募说补齐原【】空缺，并修正与募说不一致的数字；募说本身仍为【】的，不编造。</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17、盈利依赖政府补贴：报告期内净利润分别为38,065.12万元和57,496.94万元，财政补贴收入分别为179,575.68万元和</w:t>
      </w:r>
      <w:del w:id="86" w:author="冯佳淇" w:date="2026-08-28T08:00:00Z">
        <w:r>
          <w:rPr>
            <w:rFonts w:ascii="仿宋_GB2312" w:hAnsi="仿宋_GB2312" w:eastAsia="仿宋_GB2312" w:cs="仿宋_GB2312"/>
            <w:sz w:val="24"/>
            <w:szCs w:val="24"/>
          </w:rPr>
          <w:delText xml:space="preserve">【】</w:delText>
        </w:r>
      </w:del>
      <w:ins w:id="87" w:author="冯佳淇" w:date="2026-08-28T08:00:00Z">
        <w:r>
          <w:rPr>
            <w:rFonts w:ascii="仿宋_GB2312" w:hAnsi="仿宋_GB2312" w:eastAsia="仿宋_GB2312" w:cs="仿宋_GB2312"/>
            <w:sz w:val="24"/>
            <w:szCs w:val="24"/>
          </w:rPr>
          <w:t xml:space="preserve">170,935.79</w:t>
        </w:r>
      </w:ins>
      <w:r>
        <w:rPr>
          <w:rFonts w:ascii="仿宋_GB2312" w:hAnsi="仿宋_GB2312" w:eastAsia="仿宋_GB2312" w:cs="仿宋_GB2312"/>
          <w:sz w:val="24"/>
          <w:szCs w:val="24"/>
        </w:rPr>
        <w:t xml:space="preserve">万元，政府补贴占净利润比分别为471.76%和</w:t>
      </w:r>
      <w:del w:id="88" w:author="冯佳淇" w:date="2026-08-28T08:00:00Z">
        <w:r>
          <w:rPr>
            <w:rFonts w:ascii="仿宋_GB2312" w:hAnsi="仿宋_GB2312" w:eastAsia="仿宋_GB2312" w:cs="仿宋_GB2312"/>
            <w:sz w:val="24"/>
            <w:szCs w:val="24"/>
          </w:rPr>
          <w:delText xml:space="preserve">【】</w:delText>
        </w:r>
      </w:del>
      <w:ins w:id="89" w:author="冯佳淇" w:date="2026-08-28T08:00:00Z">
        <w:r>
          <w:rPr>
            <w:rFonts w:ascii="仿宋_GB2312" w:hAnsi="仿宋_GB2312" w:eastAsia="仿宋_GB2312" w:cs="仿宋_GB2312"/>
            <w:sz w:val="24"/>
            <w:szCs w:val="24"/>
          </w:rPr>
          <w:t xml:space="preserve">297.30</w:t>
        </w:r>
      </w:ins>
      <w:r>
        <w:rPr>
          <w:rFonts w:ascii="仿宋_GB2312" w:hAnsi="仿宋_GB2312" w:eastAsia="仿宋_GB2312" w:cs="仿宋_GB2312"/>
          <w:sz w:val="24"/>
          <w:szCs w:val="24"/>
        </w:rPr>
        <w:t xml:space="preserve">%。</w:t>
      </w:r>
      <w:ins w:id="90" w:author="冯佳淇" w:date="2026-08-28T08:00:00Z">
        <w:r>
          <w:rPr>
            <w:rFonts w:ascii="仿宋_GB2312" w:hAnsi="仿宋_GB2312" w:eastAsia="仿宋_GB2312" w:cs="仿宋_GB2312"/>
            <w:sz w:val="24"/>
            <w:szCs w:val="24"/>
          </w:rPr>
          <w:t xml:space="preserve">2026年1–6月净利润16,623.24万元，财政补贴84,271.18万元，占净利润比507.0%。</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18、投资性房地产公允价值变动：报告期内公允价值变动收益分别为</w:t>
      </w:r>
      <w:del w:id="91" w:author="冯佳淇" w:date="2026-08-28T08:00:00Z">
        <w:r>
          <w:rPr>
            <w:rFonts w:ascii="仿宋_GB2312" w:hAnsi="仿宋_GB2312" w:eastAsia="仿宋_GB2312" w:cs="仿宋_GB2312"/>
            <w:sz w:val="24"/>
            <w:szCs w:val="24"/>
          </w:rPr>
          <w:delText xml:space="preserve">58.96万元和【】万元</w:delText>
        </w:r>
      </w:del>
      <w:ins w:id="92" w:author="冯佳淇" w:date="2026-08-28T08:00:00Z">
        <w:r>
          <w:rPr>
            <w:rFonts w:ascii="仿宋_GB2312" w:hAnsi="仿宋_GB2312" w:eastAsia="仿宋_GB2312" w:cs="仿宋_GB2312"/>
            <w:sz w:val="24"/>
            <w:szCs w:val="24"/>
          </w:rPr>
          <w:t xml:space="preserve">-1,333.28万元和58.96万元</w:t>
        </w:r>
      </w:ins>
      <w:r>
        <w:rPr>
          <w:rFonts w:ascii="仿宋_GB2312" w:hAnsi="仿宋_GB2312" w:eastAsia="仿宋_GB2312" w:cs="仿宋_GB2312"/>
          <w:sz w:val="24"/>
          <w:szCs w:val="24"/>
        </w:rPr>
        <w:t xml:space="preserve">。</w:t>
      </w:r>
      <w:ins w:id="93" w:author="冯佳淇" w:date="2026-08-28T08:00:00Z">
        <w:r>
          <w:rPr>
            <w:rFonts w:ascii="仿宋_GB2312" w:hAnsi="仿宋_GB2312" w:eastAsia="仿宋_GB2312" w:cs="仿宋_GB2312"/>
            <w:sz w:val="24"/>
            <w:szCs w:val="24"/>
          </w:rPr>
          <w:t xml:space="preserve">2026年1–6月为0.00万元。原立项将2025年的58.96万元误写为2024年数。</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19、子公司盈利不佳：截至</w:t>
      </w:r>
      <w:del w:id="94" w:author="冯佳淇" w:date="2026-08-28T08:00:00Z">
        <w:r>
          <w:rPr>
            <w:rFonts w:ascii="仿宋_GB2312" w:hAnsi="仿宋_GB2312" w:eastAsia="仿宋_GB2312" w:cs="仿宋_GB2312"/>
            <w:sz w:val="24"/>
            <w:szCs w:val="24"/>
          </w:rPr>
          <w:delText xml:space="preserve">2025年末，发行人纳入合并范围的子公司共有8家</w:delText>
        </w:r>
      </w:del>
      <w:ins w:id="95" w:author="冯佳淇" w:date="2026-08-28T08:00:00Z">
        <w:r>
          <w:rPr>
            <w:rFonts w:ascii="仿宋_GB2312" w:hAnsi="仿宋_GB2312" w:eastAsia="仿宋_GB2312" w:cs="仿宋_GB2312"/>
            <w:sz w:val="24"/>
            <w:szCs w:val="24"/>
          </w:rPr>
          <w:t xml:space="preserve">2026年6月末，发行人纳入合并范围的子公司共有8家</w:t>
        </w:r>
      </w:ins>
      <w:r>
        <w:rPr>
          <w:rFonts w:ascii="仿宋_GB2312" w:hAnsi="仿宋_GB2312" w:eastAsia="仿宋_GB2312" w:cs="仿宋_GB2312"/>
          <w:sz w:val="24"/>
          <w:szCs w:val="24"/>
        </w:rPr>
        <w:t xml:space="preserve">。</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20、市政工程收入集中：营业收入分别为533,548.93万元和</w:t>
      </w:r>
      <w:del w:id="96" w:author="冯佳淇" w:date="2026-08-28T08:00:00Z">
        <w:r>
          <w:rPr>
            <w:rFonts w:ascii="仿宋_GB2312" w:hAnsi="仿宋_GB2312" w:eastAsia="仿宋_GB2312" w:cs="仿宋_GB2312"/>
            <w:sz w:val="24"/>
            <w:szCs w:val="24"/>
          </w:rPr>
          <w:delText xml:space="preserve">【】</w:delText>
        </w:r>
      </w:del>
      <w:ins w:id="97" w:author="冯佳淇" w:date="2026-08-28T08:00:00Z">
        <w:r>
          <w:rPr>
            <w:rFonts w:ascii="仿宋_GB2312" w:hAnsi="仿宋_GB2312" w:eastAsia="仿宋_GB2312" w:cs="仿宋_GB2312"/>
            <w:sz w:val="24"/>
            <w:szCs w:val="24"/>
          </w:rPr>
          <w:t xml:space="preserve">342,590.80</w:t>
        </w:r>
      </w:ins>
      <w:r>
        <w:rPr>
          <w:rFonts w:ascii="仿宋_GB2312" w:hAnsi="仿宋_GB2312" w:eastAsia="仿宋_GB2312" w:cs="仿宋_GB2312"/>
          <w:sz w:val="24"/>
          <w:szCs w:val="24"/>
        </w:rPr>
        <w:t xml:space="preserve">万元，其中市政工程分别为200,200.00万元和</w:t>
      </w:r>
      <w:del w:id="98" w:author="冯佳淇" w:date="2026-08-28T08:00:00Z">
        <w:r>
          <w:rPr>
            <w:rFonts w:ascii="仿宋_GB2312" w:hAnsi="仿宋_GB2312" w:eastAsia="仿宋_GB2312" w:cs="仿宋_GB2312"/>
            <w:sz w:val="24"/>
            <w:szCs w:val="24"/>
          </w:rPr>
          <w:delText xml:space="preserve">【】</w:delText>
        </w:r>
      </w:del>
      <w:ins w:id="99" w:author="冯佳淇" w:date="2026-08-28T08:00:00Z">
        <w:r>
          <w:rPr>
            <w:rFonts w:ascii="仿宋_GB2312" w:hAnsi="仿宋_GB2312" w:eastAsia="仿宋_GB2312" w:cs="仿宋_GB2312"/>
            <w:sz w:val="24"/>
            <w:szCs w:val="24"/>
          </w:rPr>
          <w:t xml:space="preserve">207,154.56</w:t>
        </w:r>
      </w:ins>
      <w:r>
        <w:rPr>
          <w:rFonts w:ascii="仿宋_GB2312" w:hAnsi="仿宋_GB2312" w:eastAsia="仿宋_GB2312" w:cs="仿宋_GB2312"/>
          <w:sz w:val="24"/>
          <w:szCs w:val="24"/>
        </w:rPr>
        <w:t xml:space="preserve">万元，占比分别为37.52%和</w:t>
      </w:r>
      <w:del w:id="100" w:author="冯佳淇" w:date="2026-08-28T08:00:00Z">
        <w:r>
          <w:rPr>
            <w:rFonts w:ascii="仿宋_GB2312" w:hAnsi="仿宋_GB2312" w:eastAsia="仿宋_GB2312" w:cs="仿宋_GB2312"/>
            <w:sz w:val="24"/>
            <w:szCs w:val="24"/>
          </w:rPr>
          <w:delText xml:space="preserve">【】</w:delText>
        </w:r>
      </w:del>
      <w:ins w:id="101" w:author="冯佳淇" w:date="2026-08-28T08:00:00Z">
        <w:r>
          <w:rPr>
            <w:rFonts w:ascii="仿宋_GB2312" w:hAnsi="仿宋_GB2312" w:eastAsia="仿宋_GB2312" w:cs="仿宋_GB2312"/>
            <w:sz w:val="24"/>
            <w:szCs w:val="24"/>
          </w:rPr>
          <w:t xml:space="preserve">60.47</w:t>
        </w:r>
      </w:ins>
      <w:r>
        <w:rPr>
          <w:rFonts w:ascii="仿宋_GB2312" w:hAnsi="仿宋_GB2312" w:eastAsia="仿宋_GB2312" w:cs="仿宋_GB2312"/>
          <w:sz w:val="24"/>
          <w:szCs w:val="24"/>
        </w:rPr>
        <w:t xml:space="preserve">%。</w:t>
      </w:r>
      <w:ins w:id="102" w:author="冯佳淇" w:date="2026-08-28T08:00:00Z">
        <w:r>
          <w:rPr>
            <w:rFonts w:ascii="仿宋_GB2312" w:hAnsi="仿宋_GB2312" w:eastAsia="仿宋_GB2312" w:cs="仿宋_GB2312"/>
            <w:sz w:val="24"/>
            <w:szCs w:val="24"/>
          </w:rPr>
          <w:t xml:space="preserve">2026年1–6月市政工程占比升至88.29%，集中度进一步上升。</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21、盈利能力波动：营业毛利率分别为8.35%和</w:t>
      </w:r>
      <w:del w:id="103" w:author="冯佳淇" w:date="2026-08-28T08:00:00Z">
        <w:r>
          <w:rPr>
            <w:rFonts w:ascii="仿宋_GB2312" w:hAnsi="仿宋_GB2312" w:eastAsia="仿宋_GB2312" w:cs="仿宋_GB2312"/>
            <w:sz w:val="24"/>
            <w:szCs w:val="24"/>
          </w:rPr>
          <w:delText xml:space="preserve">【】</w:delText>
        </w:r>
      </w:del>
      <w:ins w:id="104" w:author="冯佳淇" w:date="2026-08-28T08:00:00Z">
        <w:r>
          <w:rPr>
            <w:rFonts w:ascii="仿宋_GB2312" w:hAnsi="仿宋_GB2312" w:eastAsia="仿宋_GB2312" w:cs="仿宋_GB2312"/>
            <w:sz w:val="24"/>
            <w:szCs w:val="24"/>
          </w:rPr>
          <w:t xml:space="preserve">12.37</w:t>
        </w:r>
      </w:ins>
      <w:r>
        <w:rPr>
          <w:rFonts w:ascii="仿宋_GB2312" w:hAnsi="仿宋_GB2312" w:eastAsia="仿宋_GB2312" w:cs="仿宋_GB2312"/>
          <w:sz w:val="24"/>
          <w:szCs w:val="24"/>
        </w:rPr>
        <w:t xml:space="preserve">%。</w:t>
      </w:r>
      <w:ins w:id="105" w:author="冯佳淇" w:date="2026-08-28T08:00:00Z">
        <w:r>
          <w:rPr>
            <w:rFonts w:ascii="仿宋_GB2312" w:hAnsi="仿宋_GB2312" w:eastAsia="仿宋_GB2312" w:cs="仿宋_GB2312"/>
            <w:sz w:val="24"/>
            <w:szCs w:val="24"/>
          </w:rPr>
          <w:t xml:space="preserve">2026年1–6月为13.28%。</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22、运营效率：应收账款周转率分别为0.36、</w:t>
      </w:r>
      <w:del w:id="106" w:author="冯佳淇" w:date="2026-08-28T08:00:00Z">
        <w:r>
          <w:rPr>
            <w:rFonts w:ascii="仿宋_GB2312" w:hAnsi="仿宋_GB2312" w:eastAsia="仿宋_GB2312" w:cs="仿宋_GB2312"/>
            <w:sz w:val="24"/>
            <w:szCs w:val="24"/>
          </w:rPr>
          <w:delText xml:space="preserve">【】</w:delText>
        </w:r>
      </w:del>
      <w:ins w:id="107" w:author="冯佳淇" w:date="2026-08-28T08:00:00Z">
        <w:r>
          <w:rPr>
            <w:rFonts w:ascii="仿宋_GB2312" w:hAnsi="仿宋_GB2312" w:eastAsia="仿宋_GB2312" w:cs="仿宋_GB2312"/>
            <w:sz w:val="24"/>
            <w:szCs w:val="24"/>
          </w:rPr>
          <w:t xml:space="preserve">0.20</w:t>
        </w:r>
      </w:ins>
      <w:r>
        <w:rPr>
          <w:rFonts w:ascii="仿宋_GB2312" w:hAnsi="仿宋_GB2312" w:eastAsia="仿宋_GB2312" w:cs="仿宋_GB2312"/>
          <w:sz w:val="24"/>
          <w:szCs w:val="24"/>
        </w:rPr>
        <w:t xml:space="preserve">，存货周转率分别为0.31、</w:t>
      </w:r>
      <w:del w:id="108" w:author="冯佳淇" w:date="2026-08-28T08:00:00Z">
        <w:r>
          <w:rPr>
            <w:rFonts w:ascii="仿宋_GB2312" w:hAnsi="仿宋_GB2312" w:eastAsia="仿宋_GB2312" w:cs="仿宋_GB2312"/>
            <w:sz w:val="24"/>
            <w:szCs w:val="24"/>
          </w:rPr>
          <w:delText xml:space="preserve">【】</w:delText>
        </w:r>
      </w:del>
      <w:ins w:id="109" w:author="冯佳淇" w:date="2026-08-28T08:00:00Z">
        <w:r>
          <w:rPr>
            <w:rFonts w:ascii="仿宋_GB2312" w:hAnsi="仿宋_GB2312" w:eastAsia="仿宋_GB2312" w:cs="仿宋_GB2312"/>
            <w:sz w:val="24"/>
            <w:szCs w:val="24"/>
          </w:rPr>
          <w:t xml:space="preserve">0.26</w:t>
        </w:r>
      </w:ins>
      <w:r>
        <w:rPr>
          <w:rFonts w:ascii="仿宋_GB2312" w:hAnsi="仿宋_GB2312" w:eastAsia="仿宋_GB2312" w:cs="仿宋_GB2312"/>
          <w:sz w:val="24"/>
          <w:szCs w:val="24"/>
        </w:rPr>
        <w:t xml:space="preserve">。</w:t>
      </w:r>
      <w:ins w:id="110" w:author="冯佳淇" w:date="2026-08-28T08:00:00Z">
        <w:r>
          <w:rPr>
            <w:rFonts w:ascii="仿宋_GB2312" w:hAnsi="仿宋_GB2312" w:eastAsia="仿宋_GB2312" w:cs="仿宋_GB2312"/>
            <w:sz w:val="24"/>
            <w:szCs w:val="24"/>
          </w:rPr>
          <w:t xml:space="preserve">2026年1–6月分别为0.06、0.09。</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24、转让土地使用权：收入分别为4,282.30万元和</w:t>
      </w:r>
      <w:del w:id="111" w:author="冯佳淇" w:date="2026-08-28T08:00:00Z">
        <w:r>
          <w:rPr>
            <w:rFonts w:ascii="仿宋_GB2312" w:hAnsi="仿宋_GB2312" w:eastAsia="仿宋_GB2312" w:cs="仿宋_GB2312"/>
            <w:sz w:val="24"/>
            <w:szCs w:val="24"/>
          </w:rPr>
          <w:delText xml:space="preserve">【】</w:delText>
        </w:r>
      </w:del>
      <w:ins w:id="112" w:author="冯佳淇" w:date="2026-08-28T08:00:00Z">
        <w:r>
          <w:rPr>
            <w:rFonts w:ascii="仿宋_GB2312" w:hAnsi="仿宋_GB2312" w:eastAsia="仿宋_GB2312" w:cs="仿宋_GB2312"/>
            <w:sz w:val="24"/>
            <w:szCs w:val="24"/>
          </w:rPr>
          <w:t xml:space="preserve">57,102.71</w:t>
        </w:r>
      </w:ins>
      <w:r>
        <w:rPr>
          <w:rFonts w:ascii="仿宋_GB2312" w:hAnsi="仿宋_GB2312" w:eastAsia="仿宋_GB2312" w:cs="仿宋_GB2312"/>
          <w:sz w:val="24"/>
          <w:szCs w:val="24"/>
        </w:rPr>
        <w:t xml:space="preserve">万元，占营业收入比例分别为0.80%和</w:t>
      </w:r>
      <w:del w:id="113" w:author="冯佳淇" w:date="2026-08-28T08:00:00Z">
        <w:r>
          <w:rPr>
            <w:rFonts w:ascii="仿宋_GB2312" w:hAnsi="仿宋_GB2312" w:eastAsia="仿宋_GB2312" w:cs="仿宋_GB2312"/>
            <w:sz w:val="24"/>
            <w:szCs w:val="24"/>
          </w:rPr>
          <w:delText xml:space="preserve">【】</w:delText>
        </w:r>
      </w:del>
      <w:ins w:id="114" w:author="冯佳淇" w:date="2026-08-28T08:00:00Z">
        <w:r>
          <w:rPr>
            <w:rFonts w:ascii="仿宋_GB2312" w:hAnsi="仿宋_GB2312" w:eastAsia="仿宋_GB2312" w:cs="仿宋_GB2312"/>
            <w:sz w:val="24"/>
            <w:szCs w:val="24"/>
          </w:rPr>
          <w:t xml:space="preserve">16.67</w:t>
        </w:r>
      </w:ins>
      <w:r>
        <w:rPr>
          <w:rFonts w:ascii="仿宋_GB2312" w:hAnsi="仿宋_GB2312" w:eastAsia="仿宋_GB2312" w:cs="仿宋_GB2312"/>
          <w:sz w:val="24"/>
          <w:szCs w:val="24"/>
        </w:rPr>
        <w:t xml:space="preserve">%。</w:t>
      </w:r>
      <w:ins w:id="115" w:author="冯佳淇" w:date="2026-08-28T08:00:00Z">
        <w:r>
          <w:rPr>
            <w:rFonts w:ascii="仿宋_GB2312" w:hAnsi="仿宋_GB2312" w:eastAsia="仿宋_GB2312" w:cs="仿宋_GB2312"/>
            <w:sz w:val="24"/>
            <w:szCs w:val="24"/>
          </w:rPr>
          <w:t xml:space="preserve">2026年1–6月为0。原立项“营业收入下降”将2025年市政工程写成下降，与数据不符；募说已改为2025年市政工程小幅增长、商品销售大幅下降。</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7、有息负债规模：2024年末和2025年末有息负债分别为265.78亿元和</w:t>
      </w:r>
      <w:del w:id="116" w:author="冯佳淇" w:date="2026-08-28T08:00:00Z">
        <w:r>
          <w:rPr>
            <w:rFonts w:ascii="仿宋_GB2312" w:hAnsi="仿宋_GB2312" w:eastAsia="仿宋_GB2312" w:cs="仿宋_GB2312"/>
            <w:sz w:val="24"/>
            <w:szCs w:val="24"/>
          </w:rPr>
          <w:delText xml:space="preserve">251.47</w:delText>
        </w:r>
      </w:del>
      <w:ins w:id="117" w:author="冯佳淇" w:date="2026-08-28T08:00:00Z">
        <w:r>
          <w:rPr>
            <w:rFonts w:ascii="仿宋_GB2312" w:hAnsi="仿宋_GB2312" w:eastAsia="仿宋_GB2312" w:cs="仿宋_GB2312"/>
            <w:sz w:val="24"/>
            <w:szCs w:val="24"/>
          </w:rPr>
          <w:t xml:space="preserve">246.20</w:t>
        </w:r>
      </w:ins>
      <w:r>
        <w:rPr>
          <w:rFonts w:ascii="仿宋_GB2312" w:hAnsi="仿宋_GB2312" w:eastAsia="仿宋_GB2312" w:cs="仿宋_GB2312"/>
          <w:sz w:val="24"/>
          <w:szCs w:val="24"/>
        </w:rPr>
        <w:t xml:space="preserve">亿元，占总负债</w:t>
      </w:r>
      <w:del w:id="118" w:author="冯佳淇" w:date="2026-08-28T08:00:00Z">
        <w:r>
          <w:rPr>
            <w:rFonts w:ascii="仿宋_GB2312" w:hAnsi="仿宋_GB2312" w:eastAsia="仿宋_GB2312" w:cs="仿宋_GB2312"/>
            <w:sz w:val="24"/>
            <w:szCs w:val="24"/>
          </w:rPr>
          <w:delText xml:space="preserve">66.59%和70.00%</w:delText>
        </w:r>
      </w:del>
      <w:ins w:id="119" w:author="冯佳淇" w:date="2026-08-28T08:00:00Z">
        <w:r>
          <w:rPr>
            <w:rFonts w:ascii="仿宋_GB2312" w:hAnsi="仿宋_GB2312" w:eastAsia="仿宋_GB2312" w:cs="仿宋_GB2312"/>
            <w:sz w:val="24"/>
            <w:szCs w:val="24"/>
          </w:rPr>
          <w:t xml:space="preserve">66.59%和68.54%</w:t>
        </w:r>
      </w:ins>
      <w:r>
        <w:rPr>
          <w:rFonts w:ascii="仿宋_GB2312" w:hAnsi="仿宋_GB2312" w:eastAsia="仿宋_GB2312" w:cs="仿宋_GB2312"/>
          <w:sz w:val="24"/>
          <w:szCs w:val="24"/>
        </w:rPr>
        <w:t xml:space="preserve">。</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8、短期偿债压力：截至2025年末有息债务251.47亿元、一年内到期101.78亿元、占比40.47%。</w:t>
      </w:r>
      <w:ins w:id="120" w:author="冯佳淇" w:date="2026-08-28T08:00:00Z">
        <w:r>
          <w:rPr>
            <w:rFonts w:ascii="仿宋_GB2312" w:hAnsi="仿宋_GB2312" w:eastAsia="仿宋_GB2312" w:cs="仿宋_GB2312"/>
            <w:sz w:val="24"/>
            <w:szCs w:val="24"/>
          </w:rPr>
          <w:t xml:space="preserve">募说改为截至2026年6月末有息债务231.99亿元，短期借款与一年内到期非流动负债合计118.15亿元，占比50.93%，短期压力加重。</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9、非传统融资：原立项写报告期各期末50.70亿元和36.54亿元（占比19.08%和14.53%）。</w:t>
      </w:r>
      <w:ins w:id="121" w:author="冯佳淇" w:date="2026-08-28T08:00:00Z">
        <w:r>
          <w:rPr>
            <w:rFonts w:ascii="仿宋_GB2312" w:hAnsi="仿宋_GB2312" w:eastAsia="仿宋_GB2312" w:cs="仿宋_GB2312"/>
            <w:sz w:val="24"/>
            <w:szCs w:val="24"/>
          </w:rPr>
          <w:t xml:space="preserve">募说重大事项写2024/2025/2026年6月末分别为35.94亿元、50.70亿元和【】亿元（占比13.85%、19.08%和【】%），与原立项年份方向相反，且募说该条仍有【】。本次不把募说未填数写入立项，两条口径并存，请内核确认以哪套分项为准。</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12、可使用授信：原立项剩余授信267,038.34万元。已改为62,605.09万元，该条风险显著上升。</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其余风险（政府性应收款、存货、金融资产、受限资产、非货币实收资本、或有负债、资本支出、现金流波动、期间费用、代建回款、子公司划出等）定性判断仍成立；定量已能与募说2025年报对齐的，维持原立项2025年末数；募说已切到2026年6月末的，在审阅时以募说重大事项为准。</w:t>
      </w:r>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十五、人员配备</w:t>
      </w:r>
    </w:p>
    <w:tbl>
      <w:tblPr>
        <w:tblStyle w:val="TableGrid"/>
        <w:tblW w:type="auto" w:w="0"/>
        <w:tblLook w:firstColumn="1" w:firstRow="1" w:lastColumn="0" w:lastRow="0" w:noHBand="0" w:noVBand="1" w:val="04A0"/>
      </w:tblPr>
      <w:tblGrid>
        <w:gridCol w:w="1530"/>
        <w:gridCol w:w="1530"/>
        <w:gridCol w:w="1530"/>
        <w:gridCol w:w="1530"/>
        <w:gridCol w:w="1530"/>
        <w:gridCol w:w="1530"/>
      </w:tblGrid>
      <w:tr>
        <w:tc>
          <w:tcPr>
            <w:tcW w:type="dxa" w:w="153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序号</w:t>
            </w:r>
          </w:p>
        </w:tc>
        <w:tc>
          <w:tcPr>
            <w:tcW w:type="dxa" w:w="153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姓名</w:t>
            </w:r>
          </w:p>
        </w:tc>
        <w:tc>
          <w:tcPr>
            <w:tcW w:type="dxa" w:w="153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职位</w:t>
            </w:r>
          </w:p>
        </w:tc>
        <w:tc>
          <w:tcPr>
            <w:tcW w:type="dxa" w:w="153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学历</w:t>
            </w:r>
          </w:p>
        </w:tc>
        <w:tc>
          <w:tcPr>
            <w:tcW w:type="dxa" w:w="153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经验年限</w:t>
            </w:r>
          </w:p>
        </w:tc>
        <w:tc>
          <w:tcPr>
            <w:tcW w:type="dxa" w:w="1530"/>
          </w:tcPr>
          <w:p>
            <w:pPr>
              <w:spacing w:line="360" w:lineRule="auto" w:after="80"/>
              <w:rPr>
                <w:rFonts w:ascii="仿宋_GB2312" w:hAnsi="仿宋_GB2312" w:eastAsia="仿宋_GB2312" w:cs="仿宋_GB2312"/>
                <w:sz w:val="20"/>
                <w:szCs w:val="20"/>
              </w:rPr>
            </w:pPr>
            <w:r>
              <w:rPr>
                <w:b/>
              </w:rPr>
            </w:r>
            <w:r>
              <w:rPr>
                <w:rFonts w:ascii="仿宋_GB2312" w:hAnsi="仿宋_GB2312" w:eastAsia="仿宋_GB2312" w:cs="仿宋_GB2312"/>
                <w:b/>
                <w:sz w:val="20"/>
                <w:szCs w:val="20"/>
              </w:rPr>
              <w:t xml:space="preserve">工作内容</w:t>
            </w:r>
          </w:p>
        </w:tc>
      </w:tr>
      <w:tr>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余之悠</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承做岗</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硕士研究生</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11</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尽调、申报材料、底稿、反馈及销售</w:t>
            </w:r>
          </w:p>
        </w:tc>
      </w:tr>
      <w:tr>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2</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殷柏林</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承做岗</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硕士研究生</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8</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尽调、申报材料、底稿、反馈及销售</w:t>
            </w:r>
          </w:p>
        </w:tc>
      </w:tr>
      <w:tr>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3</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韦欣怡</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承做岗</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硕士研究生</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4</w:t>
            </w:r>
          </w:p>
        </w:tc>
        <w:tc>
          <w:tcPr>
            <w:tcW w:type="dxa" w:w="1530"/>
          </w:tcPr>
          <w:p>
            <w:pPr>
              <w:spacing w:line="360" w:lineRule="auto" w:after="80"/>
              <w:rPr>
                <w:rFonts w:ascii="仿宋_GB2312" w:hAnsi="仿宋_GB2312" w:eastAsia="仿宋_GB2312" w:cs="仿宋_GB2312"/>
                <w:sz w:val="20"/>
                <w:szCs w:val="20"/>
              </w:rPr>
            </w:pPr>
            <w:r/>
            <w:r>
              <w:rPr>
                <w:rFonts w:ascii="仿宋_GB2312" w:hAnsi="仿宋_GB2312" w:eastAsia="仿宋_GB2312" w:cs="仿宋_GB2312"/>
                <w:sz w:val="20"/>
                <w:szCs w:val="20"/>
              </w:rPr>
              <w:t xml:space="preserve">尽调、申报材料、底稿、反馈及销售</w:t>
            </w:r>
          </w:p>
        </w:tc>
      </w:tr>
    </w:tbl>
    <w:p/>
    <w:p>
      <w:pPr>
        <w:spacing w:line="360" w:lineRule="auto" w:after="80"/>
        <w:ind w:firstLine="420"/>
        <w:rPr>
          <w:rFonts w:ascii="仿宋_GB2312" w:hAnsi="仿宋_GB2312" w:eastAsia="仿宋_GB2312" w:cs="仿宋_GB2312"/>
          <w:sz w:val="24"/>
          <w:szCs w:val="24"/>
        </w:rPr>
      </w:pPr>
      <w:ins w:id="122" w:author="冯佳淇" w:date="2026-08-28T08:00:00Z">
        <w:r>
          <w:rPr>
            <w:rFonts w:ascii="仿宋_GB2312" w:hAnsi="仿宋_GB2312" w:eastAsia="仿宋_GB2312" w:cs="仿宋_GB2312"/>
            <w:sz w:val="24"/>
            <w:szCs w:val="24"/>
          </w:rPr>
          <w:t xml:space="preserve">募说甬兴证券联系人为殷柏林、路子博；德邦证券联系人为候子杰、孟祥绥、刘亚敏。立项人员表未列路子博及德邦承做人，是否增补请项目组决定。</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十六、项目时间安排表</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原安排：现场工作2026年4月中旬–6月下旬；内核2026年7月上旬–中旬；反馈注册2026年7月下旬–9月上旬；发行阶段2026年9月中旬–2027年8月中旬。</w:t>
      </w:r>
      <w:ins w:id="123" w:author="冯佳淇" w:date="2026-08-28T08:00:00Z">
        <w:r>
          <w:rPr>
            <w:rFonts w:ascii="仿宋_GB2312" w:hAnsi="仿宋_GB2312" w:eastAsia="仿宋_GB2312" w:cs="仿宋_GB2312"/>
            <w:sz w:val="24"/>
            <w:szCs w:val="24"/>
          </w:rPr>
          <w:t xml:space="preserve">目前已有完整募集说明书底稿（仍有若干【】及无异议函未填），现场及底稿阶段实际已完成。建议内核安排调整为2026年8月下旬–9月上旬，申报/反馈视内核及交易所进度确定。债券批文有效期1年，具体发行时点仍视公司需求及市场利率。</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十七、收费情况</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本次债券承销费及受托管理报酬合计为0.20%/年，</w:t>
      </w:r>
      <w:del w:id="124" w:author="冯佳淇" w:date="2026-08-28T08:00:00Z">
        <w:r>
          <w:rPr>
            <w:rFonts w:ascii="仿宋_GB2312" w:hAnsi="仿宋_GB2312" w:eastAsia="仿宋_GB2312" w:cs="仿宋_GB2312"/>
            <w:sz w:val="24"/>
            <w:szCs w:val="24"/>
          </w:rPr>
          <w:delText xml:space="preserve">我司为主承销商、受托管理人。</w:delText>
        </w:r>
      </w:del>
      <w:ins w:id="125" w:author="冯佳淇" w:date="2026-08-28T08:00:00Z">
        <w:r>
          <w:rPr>
            <w:rFonts w:ascii="仿宋_GB2312" w:hAnsi="仿宋_GB2312" w:eastAsia="仿宋_GB2312" w:cs="仿宋_GB2312"/>
            <w:sz w:val="24"/>
            <w:szCs w:val="24"/>
          </w:rPr>
          <w:t xml:space="preserve">我司（甬兴证券）为牵头主承销商、受托管理人、簿记管理人，德邦证券为联席主承销商。</w:t>
        </w:r>
      </w:ins>
      <w:r>
        <w:rPr>
          <w:rFonts w:ascii="仿宋_GB2312" w:hAnsi="仿宋_GB2312" w:eastAsia="仿宋_GB2312" w:cs="仿宋_GB2312"/>
          <w:sz w:val="24"/>
          <w:szCs w:val="24"/>
        </w:rPr>
        <w:t xml:space="preserve">按获批规模67,800万元、期限5年测算，本项目预计收入为678万元。</w:t>
      </w:r>
      <w:ins w:id="126" w:author="冯佳淇" w:date="2026-08-28T08:00:00Z">
        <w:r>
          <w:rPr>
            <w:rFonts w:ascii="仿宋_GB2312" w:hAnsi="仿宋_GB2312" w:eastAsia="仿宋_GB2312" w:cs="仿宋_GB2312"/>
            <w:sz w:val="24"/>
            <w:szCs w:val="24"/>
          </w:rPr>
          <w:t xml:space="preserve">联席承销分润以承销协议为准，678万元为原立项按0.20%/年、5年的测算，本次不擅自改分成。</w:t>
        </w:r>
      </w:ins>
    </w:p>
    <w:p>
      <w:pPr>
        <w:spacing w:before="200" w:after="80" w:line="360" w:lineRule="auto"/>
        <w:rPr>
          <w:rFonts w:ascii="仿宋_GB2312" w:hAnsi="仿宋_GB2312" w:eastAsia="仿宋_GB2312" w:cs="仿宋_GB2312"/>
          <w:sz w:val="28"/>
          <w:szCs w:val="28"/>
        </w:rPr>
      </w:pPr>
      <w:r>
        <w:rPr>
          <w:rFonts w:ascii="仿宋_GB2312" w:hAnsi="仿宋_GB2312" w:eastAsia="仿宋_GB2312" w:cs="仿宋_GB2312"/>
          <w:sz w:val="28"/>
          <w:szCs w:val="28"/>
          <w:b/>
          <w:bCs/>
        </w:rPr>
        <w:t xml:space="preserve">十八、判断结论</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济宁市兖州区惠民城建投资有限公司符合非公开发行公司债券的基本条件。发行人属于济宁市兖州区国有资产监督管理局下属国有企业。发行人自有资金、经营收入、外部筹资将为本次公司债券的还本付息提供保障，但剩余授信收窄、短期债务占比上升、对财政补贴依赖高，需在内核意见中明示。</w:t>
      </w:r>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本次债券由我司作为</w:t>
      </w:r>
      <w:del w:id="127" w:author="冯佳淇" w:date="2026-08-28T08:00:00Z">
        <w:r>
          <w:rPr>
            <w:rFonts w:ascii="仿宋_GB2312" w:hAnsi="仿宋_GB2312" w:eastAsia="仿宋_GB2312" w:cs="仿宋_GB2312"/>
            <w:sz w:val="24"/>
            <w:szCs w:val="24"/>
          </w:rPr>
          <w:delText xml:space="preserve">独家主承销商、受托管理人，本次债券预计收益为678万元，将为公司带来较好收益。</w:delText>
        </w:r>
      </w:del>
      <w:ins w:id="128" w:author="冯佳淇" w:date="2026-08-28T08:00:00Z">
        <w:r>
          <w:rPr>
            <w:rFonts w:ascii="仿宋_GB2312" w:hAnsi="仿宋_GB2312" w:eastAsia="仿宋_GB2312" w:cs="仿宋_GB2312"/>
            <w:sz w:val="24"/>
            <w:szCs w:val="24"/>
          </w:rPr>
          <w:t xml:space="preserve">牵头主承销商、受托管理人、簿记管理人（德邦证券联席主承销），预计收益仍按678万元测算。</w:t>
        </w:r>
      </w:ins>
    </w:p>
    <w:p>
      <w:pPr>
        <w:spacing w:line="360" w:lineRule="auto" w:after="80"/>
        <w:ind w:firstLine="420"/>
        <w:rPr>
          <w:rFonts w:ascii="仿宋_GB2312" w:hAnsi="仿宋_GB2312" w:eastAsia="仿宋_GB2312" w:cs="仿宋_GB2312"/>
          <w:sz w:val="24"/>
          <w:szCs w:val="24"/>
        </w:rPr>
      </w:pPr>
      <w:r>
        <w:rPr>
          <w:rFonts w:ascii="仿宋_GB2312" w:hAnsi="仿宋_GB2312" w:eastAsia="仿宋_GB2312" w:cs="仿宋_GB2312"/>
          <w:sz w:val="24"/>
          <w:szCs w:val="24"/>
        </w:rPr>
        <w:t xml:space="preserve">综上，本项目风险总体可控，可操作性较强，可以为我司带来较为合理的收入，建议立项。</w:t>
      </w:r>
      <w:ins w:id="129" w:author="冯佳淇" w:date="2026-08-28T08:00:00Z">
        <w:r>
          <w:rPr>
            <w:rFonts w:ascii="仿宋_GB2312" w:hAnsi="仿宋_GB2312" w:eastAsia="仿宋_GB2312" w:cs="仿宋_GB2312"/>
            <w:sz w:val="24"/>
            <w:szCs w:val="24"/>
          </w:rPr>
          <w:t xml:space="preserve">前提是：发行条款以募说为准（期限不超过5年、双主承、债券无评级）；财务及授信以募说已填数为准；募说仍为【】的科目不得在立项中填假数。</w:t>
        </w:r>
      </w:ins>
    </w:p>
    <w:p>
      <w:pPr>
        <w:spacing w:line="360" w:lineRule="auto" w:after="80"/>
        <w:jc w:val="right"/>
        <w:rPr>
          <w:rFonts w:ascii="仿宋_GB2312" w:hAnsi="仿宋_GB2312" w:eastAsia="仿宋_GB2312" w:cs="仿宋_GB2312"/>
          <w:sz w:val="24"/>
          <w:szCs w:val="24"/>
        </w:rPr>
      </w:pPr>
      <w:ins w:id="130" w:author="冯佳淇" w:date="2026-08-28T08:00:00Z">
        <w:r>
          <w:rPr>
            <w:rFonts w:ascii="仿宋_GB2312" w:hAnsi="仿宋_GB2312" w:eastAsia="仿宋_GB2312" w:cs="仿宋_GB2312"/>
            <w:sz w:val="24"/>
            <w:szCs w:val="24"/>
          </w:rPr>
          <w:t xml:space="preserve">修订人：冯佳淇    修订日期：2026年8月28日</w:t>
        </w:r>
      </w:ins>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济宁市兖州区惠民城建投资有限公司非公开发行公司债券项目立项申请报告（修订稿）</dc:title>
  <dc:subject/>
  <dc:creator>冯佳淇</dc:creator>
  <cp:keywords/>
  <dc:description>根据2026年募集说明书修订；修订人冯佳淇；已开启修订模式</dc:description>
  <cp:lastModifiedBy>冯佳淇</cp:lastModifiedBy>
  <cp:revision>2</cp:revision>
  <dcterms:created xsi:type="dcterms:W3CDTF">2026-05-13T00:00:00Z</dcterms:created>
  <dcterms:modified xsi:type="dcterms:W3CDTF">2026-08-28T00:00:00Z</dcterms:modified>
  <cp:category/>
</cp:coreProperties>
</file>