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jc w:val="center"/>
        <w:rPr>
          <w:rFonts w:ascii="仿宋_GB2312" w:hAnsi="仿宋_GB2312" w:eastAsia="仿宋_GB2312" w:cs="仿宋_GB2312"/>
          <w:sz w:val="36"/>
          <w:szCs w:val="36"/>
        </w:rPr>
      </w:pPr>
      <w:r>
        <w:rPr>
          <w:rFonts w:ascii="仿宋_GB2312" w:hAnsi="仿宋_GB2312" w:eastAsia="仿宋_GB2312" w:cs="仿宋_GB2312"/>
          <w:sz w:val="36"/>
          <w:szCs w:val="36"/>
          <w:b/>
          <w:bCs/>
        </w:rPr>
        <w:t xml:space="preserve">济宁市兖州区惠民城建投资有限公司</w:t>
      </w:r>
    </w:p>
    <w:p>
      <w:pPr>
        <w:spacing w:before="240" w:after="80" w:line="360" w:lineRule="auto"/>
        <w:jc w:val="center"/>
        <w:rPr>
          <w:rFonts w:ascii="仿宋_GB2312" w:hAnsi="仿宋_GB2312" w:eastAsia="仿宋_GB2312" w:cs="仿宋_GB2312"/>
          <w:sz w:val="36"/>
          <w:szCs w:val="36"/>
        </w:rPr>
      </w:pPr>
      <w:r>
        <w:rPr>
          <w:rFonts w:ascii="仿宋_GB2312" w:hAnsi="仿宋_GB2312" w:eastAsia="仿宋_GB2312" w:cs="仿宋_GB2312"/>
          <w:sz w:val="36"/>
          <w:szCs w:val="36"/>
          <w:b/>
          <w:bCs/>
        </w:rPr>
        <w:t xml:space="preserve">非公开发行公司债券项目</w:t>
      </w:r>
    </w:p>
    <w:p>
      <w:pPr>
        <w:spacing w:before="240" w:after="80" w:line="360" w:lineRule="auto"/>
        <w:jc w:val="center"/>
        <w:rPr>
          <w:rFonts w:ascii="仿宋_GB2312" w:hAnsi="仿宋_GB2312" w:eastAsia="仿宋_GB2312" w:cs="仿宋_GB2312"/>
          <w:sz w:val="36"/>
          <w:szCs w:val="36"/>
        </w:rPr>
      </w:pPr>
      <w:r>
        <w:rPr>
          <w:rFonts w:ascii="仿宋_GB2312" w:hAnsi="仿宋_GB2312" w:eastAsia="仿宋_GB2312" w:cs="仿宋_GB2312"/>
          <w:sz w:val="36"/>
          <w:szCs w:val="36"/>
          <w:b/>
          <w:bCs/>
        </w:rPr>
        <w:t xml:space="preserve">立项申请报告</w:t>
      </w:r>
    </w:p>
    <w:p>
      <w:pPr>
        <w:spacing w:line="360" w:lineRule="auto" w:after="80"/>
        <w:rPr>
          <w:rFonts w:ascii="仿宋_GB2312" w:hAnsi="仿宋_GB2312" w:eastAsia="仿宋_GB2312" w:cs="仿宋_GB2312"/>
          <w:sz w:val="24"/>
          <w:szCs w:val="24"/>
        </w:rPr>
      </w:pPr>
      <w:r>
        <w:rPr>
          <w:rFonts w:ascii="仿宋_GB2312" w:hAnsi="仿宋_GB2312" w:eastAsia="仿宋_GB2312" w:cs="仿宋_GB2312"/>
          <w:sz w:val="24"/>
          <w:szCs w:val="24"/>
        </w:rPr>
        <w:t xml:space="preserve">所属部组：企业融资部    提交时间：</w:t>
      </w:r>
      <w:del w:id="2" w:author="冯佳淇" w:date="2026-08-28T08:00:00Z">
        <w:r>
          <w:rPr>
            <w:rFonts w:ascii="仿宋_GB2312" w:hAnsi="仿宋_GB2312" w:eastAsia="仿宋_GB2312" w:cs="仿宋_GB2312"/>
            <w:sz w:val="24"/>
            <w:szCs w:val="24"/>
          </w:rPr>
          <w:delText xml:space="preserve">2026年5月13日</w:delText>
        </w:r>
      </w:del>
      <w:ins w:id="3" w:author="冯佳淇" w:date="2026-08-28T08:00:00Z">
        <w:r>
          <w:rPr>
            <w:rFonts w:ascii="仿宋_GB2312" w:hAnsi="仿宋_GB2312" w:eastAsia="仿宋_GB2312" w:cs="仿宋_GB2312"/>
            <w:sz w:val="24"/>
            <w:szCs w:val="24"/>
          </w:rPr>
          <w:t xml:space="preserve">2026年8月28日</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一、客户名称</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济宁市兖州区惠民城建投资有限公司。</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二、项目类型</w:t>
      </w:r>
    </w:p>
    <w:p>
      <w:pPr>
        <w:spacing w:line="360" w:lineRule="auto" w:after="80"/>
        <w:ind w:firstLine="420"/>
        <w:rPr>
          <w:rFonts w:ascii="仿宋_GB2312" w:hAnsi="仿宋_GB2312" w:eastAsia="仿宋_GB2312" w:cs="仿宋_GB2312"/>
          <w:sz w:val="24"/>
          <w:szCs w:val="24"/>
        </w:rPr>
      </w:pPr>
      <w:del w:id="4" w:author="冯佳淇" w:date="2026-08-28T08:00:00Z">
        <w:r>
          <w:rPr>
            <w:rFonts w:ascii="仿宋_GB2312" w:hAnsi="仿宋_GB2312" w:eastAsia="仿宋_GB2312" w:cs="仿宋_GB2312"/>
            <w:sz w:val="24"/>
            <w:szCs w:val="24"/>
          </w:rPr>
          <w:delText xml:space="preserve">非公开发行债券。</w:delText>
        </w:r>
      </w:del>
      <w:ins w:id="5" w:author="冯佳淇" w:date="2026-08-28T08:00:00Z">
        <w:r>
          <w:rPr>
            <w:rFonts w:ascii="仿宋_GB2312" w:hAnsi="仿宋_GB2312" w:eastAsia="仿宋_GB2312" w:cs="仿宋_GB2312"/>
            <w:sz w:val="24"/>
            <w:szCs w:val="24"/>
          </w:rPr>
          <w:t xml:space="preserve">面向专业投资者非公开发行公司债券。</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三、公司角色</w:t>
      </w:r>
    </w:p>
    <w:p>
      <w:pPr>
        <w:spacing w:line="360" w:lineRule="auto" w:after="80"/>
        <w:ind w:firstLine="420"/>
        <w:rPr>
          <w:rFonts w:ascii="仿宋_GB2312" w:hAnsi="仿宋_GB2312" w:eastAsia="仿宋_GB2312" w:cs="仿宋_GB2312"/>
          <w:sz w:val="24"/>
          <w:szCs w:val="24"/>
        </w:rPr>
      </w:pPr>
      <w:del w:id="6" w:author="冯佳淇" w:date="2026-08-28T08:00:00Z">
        <w:r>
          <w:rPr>
            <w:rFonts w:ascii="仿宋_GB2312" w:hAnsi="仿宋_GB2312" w:eastAsia="仿宋_GB2312" w:cs="仿宋_GB2312"/>
            <w:sz w:val="24"/>
            <w:szCs w:val="24"/>
          </w:rPr>
          <w:delText xml:space="preserve">主承销商、受托管理人。</w:delText>
        </w:r>
      </w:del>
      <w:ins w:id="7" w:author="冯佳淇" w:date="2026-08-28T08:00:00Z">
        <w:r>
          <w:rPr>
            <w:rFonts w:ascii="仿宋_GB2312" w:hAnsi="仿宋_GB2312" w:eastAsia="仿宋_GB2312" w:cs="仿宋_GB2312"/>
            <w:sz w:val="24"/>
            <w:szCs w:val="24"/>
          </w:rPr>
          <w:t xml:space="preserve">联席主承销商、受托管理人、簿记管理人（甬兴证券有限公司）；德邦证券股份有限公司为联席主承销商。</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四、承销方式</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本次债券由主承销商以余额包销</w:t>
      </w:r>
      <w:del w:id="8" w:author="冯佳淇" w:date="2026-08-28T08:00:00Z">
        <w:r>
          <w:rPr>
            <w:rFonts w:ascii="仿宋_GB2312" w:hAnsi="仿宋_GB2312" w:eastAsia="仿宋_GB2312" w:cs="仿宋_GB2312"/>
            <w:sz w:val="24"/>
            <w:szCs w:val="24"/>
          </w:rPr>
          <w:delText xml:space="preserve">的方式承销。</w:delText>
        </w:r>
      </w:del>
      <w:ins w:id="9" w:author="冯佳淇" w:date="2026-08-28T08:00:00Z">
        <w:r>
          <w:rPr>
            <w:rFonts w:ascii="仿宋_GB2312" w:hAnsi="仿宋_GB2312" w:eastAsia="仿宋_GB2312" w:cs="仿宋_GB2312"/>
            <w:sz w:val="24"/>
            <w:szCs w:val="24"/>
          </w:rPr>
          <w:t xml:space="preserve">方式承销。本次债券发行方式为簿记建档发行。</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五、是否构成关联交易项目</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否。</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六、是否存在聘请第三方中介机构的情形</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否。</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七、项目主要条款设计</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1、发行主体：济宁市兖州区惠民城建投资有限公司。</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2、债券全称：济宁市兖州区惠民城建投资有限公司2026年面向专业投资者非公开发行公司债券。</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3、发行规模：</w:t>
      </w:r>
      <w:del w:id="10" w:author="冯佳淇" w:date="2026-08-28T08:00:00Z">
        <w:r>
          <w:rPr>
            <w:rFonts w:ascii="仿宋_GB2312" w:hAnsi="仿宋_GB2312" w:eastAsia="仿宋_GB2312" w:cs="仿宋_GB2312"/>
            <w:sz w:val="24"/>
            <w:szCs w:val="24"/>
          </w:rPr>
          <w:delText xml:space="preserve">本次债券总规模不超过6.78亿元（含6.78亿元）。</w:delText>
        </w:r>
      </w:del>
      <w:ins w:id="11" w:author="冯佳淇" w:date="2026-08-28T08:00:00Z">
        <w:r>
          <w:rPr>
            <w:rFonts w:ascii="仿宋_GB2312" w:hAnsi="仿宋_GB2312" w:eastAsia="仿宋_GB2312" w:cs="仿宋_GB2312"/>
            <w:sz w:val="24"/>
            <w:szCs w:val="24"/>
          </w:rPr>
          <w:t xml:space="preserve">本次债券发行总额不超过人民币6.78亿元（含6.78亿元）。本次公司债券发行面值余额不超过6.78亿元（含6.78亿元），拟采取分期方式发行。挂牌转让场所：上海证券交易所。</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4、债券期限：本次债券期限</w:t>
      </w:r>
      <w:del w:id="12" w:author="冯佳淇" w:date="2026-08-28T08:00:00Z">
        <w:r>
          <w:rPr>
            <w:rFonts w:ascii="仿宋_GB2312" w:hAnsi="仿宋_GB2312" w:eastAsia="仿宋_GB2312" w:cs="仿宋_GB2312"/>
            <w:sz w:val="24"/>
            <w:szCs w:val="24"/>
          </w:rPr>
          <w:delText xml:space="preserve">不超过10年（含10年），可为单一期限品种，也可为多种期限的混合品种。</w:delText>
        </w:r>
      </w:del>
      <w:ins w:id="13" w:author="冯佳淇" w:date="2026-08-28T08:00:00Z">
        <w:r>
          <w:rPr>
            <w:rFonts w:ascii="仿宋_GB2312" w:hAnsi="仿宋_GB2312" w:eastAsia="仿宋_GB2312" w:cs="仿宋_GB2312"/>
            <w:sz w:val="24"/>
            <w:szCs w:val="24"/>
          </w:rPr>
          <w:t xml:space="preserve">为不超过5年（含5年）。本次债券面值为100元，按面值平价发行。本次债券为固定利率，票面利率根据网下询价簿记结果，由发行人与主承销商按照国家有关规定共同协商确定。本次债券采用单利计息，不计复利，付息频率为按年付息。每年付息一次，到期一次还本，最后一期利息随本金的兑付一起支付。</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5、评级情况：经中证鹏元资信评估股份有限公司评定，发行人</w:t>
      </w:r>
      <w:del w:id="14" w:author="冯佳淇" w:date="2026-08-28T08:00:00Z">
        <w:r>
          <w:rPr>
            <w:rFonts w:ascii="仿宋_GB2312" w:hAnsi="仿宋_GB2312" w:eastAsia="仿宋_GB2312" w:cs="仿宋_GB2312"/>
            <w:sz w:val="24"/>
            <w:szCs w:val="24"/>
          </w:rPr>
          <w:delText xml:space="preserve">主体信用等级为AA+，评级展望为稳定。</w:delText>
        </w:r>
      </w:del>
      <w:ins w:id="15" w:author="冯佳淇" w:date="2026-08-28T08:00:00Z">
        <w:r>
          <w:rPr>
            <w:rFonts w:ascii="仿宋_GB2312" w:hAnsi="仿宋_GB2312" w:eastAsia="仿宋_GB2312" w:cs="仿宋_GB2312"/>
            <w:sz w:val="24"/>
            <w:szCs w:val="24"/>
          </w:rPr>
          <w:t xml:space="preserve">的主体信用等级为AA+，评级展望为稳定；本次债券未评级。</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6、增信措施：本次债券不设定增信措施。</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7、募集资金用途：本次债券募集资金</w:t>
      </w:r>
      <w:del w:id="16" w:author="冯佳淇" w:date="2026-08-28T08:00:00Z">
        <w:r>
          <w:rPr>
            <w:rFonts w:ascii="仿宋_GB2312" w:hAnsi="仿宋_GB2312" w:eastAsia="仿宋_GB2312" w:cs="仿宋_GB2312"/>
            <w:sz w:val="24"/>
            <w:szCs w:val="24"/>
          </w:rPr>
          <w:delText xml:space="preserve">扣除发行费用后，全部用于偿还公司债券本金。</w:delText>
        </w:r>
      </w:del>
      <w:ins w:id="17" w:author="冯佳淇" w:date="2026-08-28T08:00:00Z">
        <w:r>
          <w:rPr>
            <w:rFonts w:ascii="仿宋_GB2312" w:hAnsi="仿宋_GB2312" w:eastAsia="仿宋_GB2312" w:cs="仿宋_GB2312"/>
            <w:sz w:val="24"/>
            <w:szCs w:val="24"/>
          </w:rPr>
          <w:t xml:space="preserve">在扣除发行费用后，拟全部用于偿还公司债券本金。</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8、主承销商：甬兴证券有限公司、德邦证券股份有限公司。受托管理人、簿记管理人：甬兴证券有限公司。</w:t>
      </w:r>
      <w:ins w:id="18" w:author="冯佳淇" w:date="2026-08-28T08:00:00Z">
        <w:r>
          <w:rPr>
            <w:rFonts w:ascii="仿宋_GB2312" w:hAnsi="仿宋_GB2312" w:eastAsia="仿宋_GB2312" w:cs="仿宋_GB2312"/>
            <w:sz w:val="24"/>
            <w:szCs w:val="24"/>
          </w:rPr>
          <w:t xml:space="preserve">发行对象：本次债券面向专业投资者非公开发行。发行方式：本次债券发行方式为簿记建档发行。承销方式：本次债券由主承销商以余额包销方式承销。本次债券采取面向不超过200名专业投资者非公开方式发行。质押式回购安排：本次公司债券发行结束后，认购人不可进行债券质押式回购。</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八、发行人背景</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发行人概况。中文名称：济宁市兖州区惠民城建投资有限公司。法定代表人：赵文广。注册资本：人民币370,117.51万元。实缴资本：人民币370,117.51万元。成立日期：2002年6月24日。注册地址：济宁市兖州区建设西路（牛旺地质家园西邻）。办公地址：济宁市兖州区建设西路（牛旺地质家园西邻）。统一社会信用代码/注册号：91370882740225002D。截至本报告签署日，济宁市济东投资发展集团有限公司持有发行人100.00%股权，为发行人的控股股东。</w:t>
      </w:r>
      <w:del w:id="19" w:author="冯佳淇" w:date="2026-08-28T08:00:00Z">
        <w:r>
          <w:rPr>
            <w:rFonts w:ascii="仿宋_GB2312" w:hAnsi="仿宋_GB2312" w:eastAsia="仿宋_GB2312" w:cs="仿宋_GB2312"/>
            <w:sz w:val="24"/>
            <w:szCs w:val="24"/>
          </w:rPr>
          <w:delText xml:space="preserve">实际控制人：济宁市兖州区国有资产监督管理局。</w:delText>
        </w:r>
      </w:del>
      <w:ins w:id="20" w:author="冯佳淇" w:date="2026-08-28T08:00:00Z">
        <w:r>
          <w:rPr>
            <w:rFonts w:ascii="仿宋_GB2312" w:hAnsi="仿宋_GB2312" w:eastAsia="仿宋_GB2312" w:cs="仿宋_GB2312"/>
            <w:sz w:val="24"/>
            <w:szCs w:val="24"/>
          </w:rPr>
          <w:t xml:space="preserve">济宁市兖州区财政局持有发行人控股股东济宁市济东投资发展集团有限公司100.00%股权，为发行人的实际控制人。</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发行人有息债务情况。2024年、2025年和2026年6月末，发行人有息负债分别为265.78亿元、246.20亿元和231.99亿元，有息负债规模较大，在负债总额中占比分别为66.59%、68.54%和63.86%。截至2026年6月末，发行人有息债务合计231.99亿元，其中，短期借款与一年内到期的非流动负债合计118.15亿元，占期末有息债务的比例为50.93%。</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3、发行人银行授信情况。截至2026年6月末，发行人在各金融机构的授信额度总额为——万元，其中已使用额度为——万元，剩余授信余额为——万元。</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4、发行人对外担保情况。截至2026年6月末，公司对外担保合计金额为577,030.99万元，占净资产的比例为20.31%。发行人对外担保对象主要为地方国有企业济宁市兖州区融通投资有限公司、济宁市济东投资发展集团有限公司和济宁市兖州区惠嘉置业有限公司。</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5、发行人受限资产情况。截至2026年6月末，公司受限资产金额为——亿元，占当年末净资产的比例为——%。发行人受限资产主要为货币资金、存货和投资性房地产中的土地资产。</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6、发行人关联方应收款及其他或有负债。截至2026年6月末，发行人其他应收款账面价值为1,662,716.11万元，其中，非经营性其他应收款账面价值为——万元，占其他应收款账面价值总额的比例为——，主要系发行人应收济宁市惠兴控股集团有限公司、大安镇财政所等单位的往来款。截至2026年6月末，发行人政府性应收款主要分为应收账款及其他应收款，分别为1,816,408.62万元及676,091.96万元，合计为2,492,500.58万元。截至报告期末，公司不存在重大未决诉讼、仲裁事项。</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7、发行人业务情况。从业务板块来看，市政工程施工、商品销售收入、转让土地使用权业务收入是发行人营业收入的主要来源。2024年、2025年和2026年1-6月，发行人分别实现主营业务收入518,190.51万元、264,862.80万元和102,322.26万元，营业收入合计分别为533,548.93万元、342,590.80万元和102,774.90万元。发行人市政工程业务收入分别占营业收入的37.52%、60.47%和88.29%；商品销售收入分别占营业收入的56.05%、14.52%和7.80%；转让土地使用权业务收入分别占营业收入的0.80%、16.67%和0.00%；房屋销售业务收入分别占营业收入的3.55%、2.32%和3.46%。2024年、2025年和2026年1-6月，发行人市政工程业务收入金额分别为200,200.00万元、207,154.56万元和90,742.48万元；商品销售收入分别为299,048.06万元、49,730.46万元和8,019.50万元；转让土地使用权业务收入分别为4,282.30万元、57,102.71万元和0.00万元。</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8、发行人子公司情况。截至2026年6月末，发行人纳入合并报表范围的子公司为10家，相比2025年末，发行人划入子公司济宁市兖州区融科供应链管理有限公司、山东惠园工投招商服务有限公司纳入发行人合并报表范围内，济宁市兖州区惠民均和实业发展有限公司不再纳入发行人合并报表范围内。截至2026年6月末，发行人纳入合并范围的下属一级子公司有4家。发行人对于最近一年经审计的总资产、净资产或营业收入任一项指标占合并报表相关指标比例超过30%的子公司认定为具有重要影响的子公司。截至最近一年末，发行人重要子公司为济宁市惠丰产业发展投资有限公司。截至2025年12月31日，惠丰产业总资产为2,489,181.59万元，净资产为862,384.90万元，负债合计1,626,796.69万元。2025年度，惠丰产业实现营业收入107,925.54万元，实现净利润-32,631.76万元。</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九、发行人主要财务数据及指标</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山东舜天信诚会计师事务所（特殊普通合伙）对发行人2024年和2025年度财务报表进行了审计，并分别出具了鲁舜审字[2025]第0182号和鲁舜审字[2026]第0270号标准无保留意见的审计报告。发行人编制了2026年1-6月财务报表，该等财务报表未经审计。</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发行人最近两年及一期的主要财务指标如下：</w:t>
      </w:r>
    </w:p>
    <w:tbl>
      <w:tblPr>
        <w:tblStyle w:val="TableGrid"/>
        <w:tblW w:type="auto" w:w="0"/>
        <w:tblLook w:firstColumn="1" w:firstRow="1" w:lastColumn="0" w:lastRow="0" w:noHBand="0" w:noVBand="1" w:val="04A0"/>
      </w:tblPr>
      <w:tblGrid>
        <w:gridCol w:w="2295"/>
        <w:gridCol w:w="2295"/>
        <w:gridCol w:w="2295"/>
        <w:gridCol w:w="2295"/>
      </w:tblGrid>
      <w:tr>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项目</w:t>
            </w:r>
          </w:p>
        </w:tc>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2026年6月末/1-6月</w:t>
            </w:r>
          </w:p>
        </w:tc>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2025年度/末</w:t>
            </w:r>
          </w:p>
        </w:tc>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2024年度/末</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总资产（亿元）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647.36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644.41</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679.47</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总负债（亿元）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363.28</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359.22</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399.12</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全部债务（亿元）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258.79</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278.07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301.23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所有者权益（亿元）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284.08</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285.19</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280.35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营业总收入（亿元）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10.28</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34.26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53.35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利润总额（亿元）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1.66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5.76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3.84</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净利润（亿元）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1.66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5.75</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3.81</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扣除非经常性损益后净利润（亿元）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5.87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3.12</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归属于母公司所有者的净利润（亿元）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1.66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5.74</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3.75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经营活动产生现金流量净额（亿元）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1.76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55.18</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-70.73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投资活动产生现金流量净额（亿元）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0.82</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-17.15</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3.21</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筹资活动产生现金流量净额（亿元）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3.55</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-43.14</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72.58</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流动比率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1.99</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2.50</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2.53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速动比率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1.60</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资产负债率（%）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56.12</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55.74</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58.74</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债务资本比率（%）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47.67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49.37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51.79</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营业毛利率（%）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13.28</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12.37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8.35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加权平均净资产收益率（%）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0.59</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2.04</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1.34</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扣非后加权平均净资产收益率（%）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2.10</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2.15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EBITDA（亿元）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19.83</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13.32</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EBITDA全部债务比</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7.13</w:t>
            </w:r>
          </w:p>
        </w:tc>
        <w:tc>
          <w:tcPr>
            <w:tcW w:type="dxa" w:w="2295"/>
          </w:tcPr>
          <w:p>
            <w:pPr>
              <w:spacing w:line="360" w:lineRule="auto" w:after="80"/>
              <w:rPr>
                <w:rFonts w:ascii="仿宋_GB2312" w:hAnsi="仿宋_GB2312" w:eastAsia="仿宋_GB2312" w:cs="仿宋_GB2312"/>
                <w:sz w:val="20"/>
                <w:szCs w:val="20"/>
              </w:rPr>
            </w:pPr>
            <w:r/>
            <w:del w:id="21" w:author="冯佳淇" w:date="2026-08-28T08:00:00Z">
              <w:r>
                <w:rPr>
                  <w:rFonts w:ascii="仿宋_GB2312" w:hAnsi="仿宋_GB2312" w:eastAsia="仿宋_GB2312" w:cs="仿宋_GB2312"/>
                  <w:sz w:val="20"/>
                  <w:szCs w:val="20"/>
                </w:rPr>
                <w:delText xml:space="preserve">0.04</w:delText>
              </w:r>
            </w:del>
            <w:ins w:id="22" w:author="冯佳淇" w:date="2026-08-28T08:00:00Z">
              <w:r>
                <w:rPr>
                  <w:rFonts w:ascii="仿宋_GB2312" w:hAnsi="仿宋_GB2312" w:eastAsia="仿宋_GB2312" w:cs="仿宋_GB2312"/>
                  <w:sz w:val="20"/>
                  <w:szCs w:val="20"/>
                </w:rPr>
                <w:t xml:space="preserve">4.42</w:t>
              </w:r>
            </w:ins>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EBITDA利息保障倍数</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1.40</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0.63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应收账款周转率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0.06</w:t>
            </w:r>
          </w:p>
        </w:tc>
        <w:tc>
          <w:tcPr>
            <w:tcW w:type="dxa" w:w="2295"/>
          </w:tcPr>
          <w:p>
            <w:pPr>
              <w:spacing w:line="360" w:lineRule="auto" w:after="80"/>
              <w:rPr>
                <w:rFonts w:ascii="仿宋_GB2312" w:hAnsi="仿宋_GB2312" w:eastAsia="仿宋_GB2312" w:cs="仿宋_GB2312"/>
                <w:sz w:val="20"/>
                <w:szCs w:val="20"/>
              </w:rPr>
            </w:pPr>
            <w:r/>
            <w:del w:id="23" w:author="冯佳淇" w:date="2026-08-28T08:00:00Z">
              <w:r>
                <w:rPr>
                  <w:rFonts w:ascii="仿宋_GB2312" w:hAnsi="仿宋_GB2312" w:eastAsia="仿宋_GB2312" w:cs="仿宋_GB2312"/>
                  <w:sz w:val="20"/>
                  <w:szCs w:val="20"/>
                </w:rPr>
                <w:delText xml:space="preserve">0.05</w:delText>
              </w:r>
            </w:del>
            <w:ins w:id="24" w:author="冯佳淇" w:date="2026-08-28T08:00:00Z">
              <w:r>
                <w:rPr>
                  <w:rFonts w:ascii="仿宋_GB2312" w:hAnsi="仿宋_GB2312" w:eastAsia="仿宋_GB2312" w:cs="仿宋_GB2312"/>
                  <w:sz w:val="20"/>
                  <w:szCs w:val="20"/>
                </w:rPr>
                <w:t xml:space="preserve">0.20</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0.36</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存货周转率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0.09</w:t>
            </w:r>
          </w:p>
        </w:tc>
        <w:tc>
          <w:tcPr>
            <w:tcW w:type="dxa" w:w="2295"/>
          </w:tcPr>
          <w:p>
            <w:pPr>
              <w:spacing w:line="360" w:lineRule="auto" w:after="80"/>
              <w:rPr>
                <w:rFonts w:ascii="仿宋_GB2312" w:hAnsi="仿宋_GB2312" w:eastAsia="仿宋_GB2312" w:cs="仿宋_GB2312"/>
                <w:sz w:val="20"/>
                <w:szCs w:val="20"/>
              </w:rPr>
            </w:pPr>
            <w:r/>
            <w:del w:id="25" w:author="冯佳淇" w:date="2026-08-28T08:00:00Z">
              <w:r>
                <w:rPr>
                  <w:rFonts w:ascii="仿宋_GB2312" w:hAnsi="仿宋_GB2312" w:eastAsia="仿宋_GB2312" w:cs="仿宋_GB2312"/>
                  <w:sz w:val="20"/>
                  <w:szCs w:val="20"/>
                </w:rPr>
                <w:delText xml:space="preserve">0.20</w:delText>
              </w:r>
            </w:del>
            <w:ins w:id="26" w:author="冯佳淇" w:date="2026-08-28T08:00:00Z">
              <w:r>
                <w:rPr>
                  <w:rFonts w:ascii="仿宋_GB2312" w:hAnsi="仿宋_GB2312" w:eastAsia="仿宋_GB2312" w:cs="仿宋_GB2312"/>
                  <w:sz w:val="20"/>
                  <w:szCs w:val="20"/>
                </w:rPr>
                <w:t xml:space="preserve">0.26</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0.31</w:t>
            </w:r>
          </w:p>
        </w:tc>
      </w:tr>
    </w:tbl>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十、发行可行性分析</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发行人将按照《公司章程》规定履行内部决策程序，及时、公平地履行信息披露义务。本次债券面向专业投资者非公开发行。本次债券采取面向不超过200名专业投资者非公开方式发行。发行人拟聘请甬兴证券有限公司作为牵头主承销商、受托管理人、簿记管理人，聘请德邦证券股份有限公司作为联席主承销商，聘请山东恒正律师事务所出具法律意见书。本次债券发行结束后将申请在上海证券交易所挂牌转让。</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经核查，立项小组认为发行人本次非公开发行公司债券符合《公司法》《证券法》《公司债券发行与交易管理办法》等现行规定，具备非公开发行公司债券并在证券交易所挂牌转让条件。发行人不属于《非公开发行公司债券项目承接负面清单指引（2024年修订）》所禁止的企业。</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十一、发行人偿债能力分析</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报告期内各期末，发行人流动比率分别为2.53、2.50和1.99，速动比率分别为1.95、1.97和1.60，资产负债率分别为58.74%、55.74%和56.12%。最近两年，公司EBITDA利息保障倍数分别为0.63和1.40。</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期债券的偿债资金主要来源于发行人自身运营收入、外部融资渠道以及政府支持。2024年、2025年和2026年1-6月，发行人分别实现营业收入533,548.93万元、342,590.80万元和102,774.90万元，实现归属于母公司所有者的净利润分别为37,475.46万元、57,421.49万元和16,646.40万元。</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十二、债券担保情况</w:t>
      </w:r>
    </w:p>
    <w:p>
      <w:pPr>
        <w:spacing w:line="360" w:lineRule="auto" w:after="80"/>
        <w:ind w:firstLine="420"/>
        <w:rPr>
          <w:rFonts w:ascii="仿宋_GB2312" w:hAnsi="仿宋_GB2312" w:eastAsia="仿宋_GB2312" w:cs="仿宋_GB2312"/>
          <w:sz w:val="24"/>
          <w:szCs w:val="24"/>
        </w:rPr>
      </w:pPr>
      <w:del w:id="27" w:author="冯佳淇" w:date="2026-08-28T08:00:00Z">
        <w:r>
          <w:rPr>
            <w:rFonts w:ascii="仿宋_GB2312" w:hAnsi="仿宋_GB2312" w:eastAsia="仿宋_GB2312" w:cs="仿宋_GB2312"/>
            <w:sz w:val="24"/>
            <w:szCs w:val="24"/>
          </w:rPr>
          <w:delText xml:space="preserve">本次债券无担保。</w:delText>
        </w:r>
      </w:del>
      <w:ins w:id="28" w:author="冯佳淇" w:date="2026-08-28T08:00:00Z">
        <w:r>
          <w:rPr>
            <w:rFonts w:ascii="仿宋_GB2312" w:hAnsi="仿宋_GB2312" w:eastAsia="仿宋_GB2312" w:cs="仿宋_GB2312"/>
            <w:sz w:val="24"/>
            <w:szCs w:val="24"/>
          </w:rPr>
          <w:t xml:space="preserve">本次债券不设定增信措施。</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十三、本期债券募集资金用途</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公司债券募集资金扣除发行费用后，拟全部用于偿还公司债券本金。发行人承诺，本次债券不用于偿还公司到期公司债券本金以外用途。发行人承诺本次债券募集资金用途与其他项目不存在重复。发行人承诺本次非公开发行公司债券不涉及新增地方政府债务，募集资金不用于偿还地方政府债务或不产生经营性收入的公益性项目。明细如下：</w:t>
      </w:r>
    </w:p>
    <w:tbl>
      <w:tblPr>
        <w:tblStyle w:val="TableGrid"/>
        <w:tblW w:type="auto" w:w="0"/>
        <w:tblLook w:firstColumn="1" w:firstRow="1" w:lastColumn="0" w:lastRow="0" w:noHBand="0" w:noVBand="1" w:val="04A0"/>
      </w:tblPr>
      <w:tblGrid>
        <w:gridCol w:w="1530"/>
        <w:gridCol w:w="1530"/>
        <w:gridCol w:w="1530"/>
        <w:gridCol w:w="1530"/>
        <w:gridCol w:w="1530"/>
        <w:gridCol w:w="1530"/>
      </w:tblGrid>
      <w:tr>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债券简称</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债券余额（亿元）</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起息日</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回售日</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到期日</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拟使用募集资金（亿元）</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22兖投01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1.90</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2022-01-27</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2025-01-27</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2027-01-27</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1.90</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23兖投01</w:t>
            </w:r>
          </w:p>
        </w:tc>
        <w:tc>
          <w:tcPr>
            <w:tcW w:type="dxa" w:w="1530"/>
          </w:tcPr>
          <w:p>
            <w:pPr>
              <w:spacing w:line="360" w:lineRule="auto" w:after="80"/>
              <w:rPr>
                <w:rFonts w:ascii="仿宋_GB2312" w:hAnsi="仿宋_GB2312" w:eastAsia="仿宋_GB2312" w:cs="仿宋_GB2312"/>
                <w:sz w:val="20"/>
                <w:szCs w:val="20"/>
              </w:rPr>
            </w:pPr>
            <w:r/>
            <w:del w:id="29" w:author="冯佳淇" w:date="2026-08-28T08:00:00Z">
              <w:r>
                <w:rPr>
                  <w:rFonts w:ascii="仿宋_GB2312" w:hAnsi="仿宋_GB2312" w:eastAsia="仿宋_GB2312" w:cs="仿宋_GB2312"/>
                  <w:sz w:val="20"/>
                  <w:szCs w:val="20"/>
                </w:rPr>
                <w:delText xml:space="preserve">0.38</w:delText>
              </w:r>
            </w:del>
            <w:ins w:id="30" w:author="冯佳淇" w:date="2026-08-28T08:00:00Z">
              <w:r>
                <w:rPr>
                  <w:rFonts w:ascii="仿宋_GB2312" w:hAnsi="仿宋_GB2312" w:eastAsia="仿宋_GB2312" w:cs="仿宋_GB2312"/>
                  <w:sz w:val="20"/>
                  <w:szCs w:val="20"/>
                </w:rPr>
                <w:t xml:space="preserve">0.378</w:t>
              </w:r>
            </w:ins>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2023-03-14</w:t>
            </w:r>
          </w:p>
        </w:tc>
        <w:tc>
          <w:tcPr>
            <w:tcW w:type="dxa" w:w="1530"/>
          </w:tcPr>
          <w:p>
            <w:pPr>
              <w:spacing w:line="360" w:lineRule="auto" w:after="80"/>
              <w:rPr>
                <w:rFonts w:ascii="仿宋_GB2312" w:hAnsi="仿宋_GB2312" w:eastAsia="仿宋_GB2312" w:cs="仿宋_GB2312"/>
                <w:sz w:val="20"/>
                <w:szCs w:val="20"/>
              </w:rPr>
            </w:pPr>
            <w:r/>
            <w:del w:id="31" w:author="冯佳淇" w:date="2026-08-28T08:00:00Z">
              <w:r>
                <w:rPr>
                  <w:rFonts w:ascii="仿宋_GB2312" w:hAnsi="仿宋_GB2312" w:eastAsia="仿宋_GB2312" w:cs="仿宋_GB2312"/>
                  <w:sz w:val="20"/>
                  <w:szCs w:val="20"/>
                </w:rPr>
                <w:delText xml:space="preserve">2027-3-14</w:delText>
              </w:r>
            </w:del>
            <w:ins w:id="32" w:author="冯佳淇" w:date="2026-08-28T08:00:00Z">
              <w:r>
                <w:rPr>
                  <w:rFonts w:ascii="仿宋_GB2312" w:hAnsi="仿宋_GB2312" w:eastAsia="仿宋_GB2312" w:cs="仿宋_GB2312"/>
                  <w:sz w:val="20"/>
                  <w:szCs w:val="20"/>
                </w:rPr>
                <w:t xml:space="preserve">2025-03-14、2027-03-14</w:t>
              </w:r>
            </w:ins>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2028-03-14</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0.378</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24兖投01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3.10</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2024-04-25</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2027-04-25</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2029-04-25</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3.10</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22兖州01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1.40</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2022-05-24</w:t>
            </w:r>
          </w:p>
        </w:tc>
        <w:tc>
          <w:tcPr>
            <w:tcW w:type="dxa" w:w="1530"/>
          </w:tcPr>
          <w:p>
            <w:pPr>
              <w:spacing w:line="360" w:lineRule="auto" w:after="80"/>
              <w:rPr>
                <w:rFonts w:ascii="仿宋_GB2312" w:hAnsi="仿宋_GB2312" w:eastAsia="仿宋_GB2312" w:cs="仿宋_GB2312"/>
                <w:sz w:val="20"/>
                <w:szCs w:val="20"/>
              </w:rPr>
            </w:pPr>
            <w:r/>
            <w:del w:id="33" w:author="冯佳淇" w:date="2026-08-28T08:00:00Z">
              <w:r>
                <w:rPr>
                  <w:rFonts w:ascii="仿宋_GB2312" w:hAnsi="仿宋_GB2312" w:eastAsia="仿宋_GB2312" w:cs="仿宋_GB2312"/>
                  <w:sz w:val="20"/>
                  <w:szCs w:val="20"/>
                </w:rPr>
                <w:delText xml:space="preserve">2026-5-24</w:delText>
              </w:r>
            </w:del>
            <w:ins w:id="34" w:author="冯佳淇" w:date="2026-08-28T08:00:00Z">
              <w:r>
                <w:rPr>
                  <w:rFonts w:ascii="仿宋_GB2312" w:hAnsi="仿宋_GB2312" w:eastAsia="仿宋_GB2312" w:cs="仿宋_GB2312"/>
                  <w:sz w:val="20"/>
                  <w:szCs w:val="20"/>
                </w:rPr>
                <w:t xml:space="preserve">2024-05-24、2026-05-24</w:t>
              </w:r>
            </w:ins>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2027-05-24</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1.40</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合计</w:t>
            </w:r>
          </w:p>
        </w:tc>
        <w:tc>
          <w:tcPr>
            <w:tcW w:type="dxa" w:w="1530"/>
          </w:tcPr>
          <w:p>
            <w:pPr>
              <w:spacing w:line="360" w:lineRule="auto" w:after="80"/>
              <w:rPr>
                <w:rFonts w:ascii="仿宋_GB2312" w:hAnsi="仿宋_GB2312" w:eastAsia="仿宋_GB2312" w:cs="仿宋_GB2312"/>
                <w:sz w:val="20"/>
                <w:szCs w:val="20"/>
              </w:rPr>
            </w:pPr>
            <w:r/>
            <w:del w:id="35" w:author="冯佳淇" w:date="2026-08-28T08:00:00Z">
              <w:r>
                <w:rPr>
                  <w:rFonts w:ascii="仿宋_GB2312" w:hAnsi="仿宋_GB2312" w:eastAsia="仿宋_GB2312" w:cs="仿宋_GB2312"/>
                  <w:sz w:val="20"/>
                  <w:szCs w:val="20"/>
                </w:rPr>
                <w:delText xml:space="preserve">6.78</w:delText>
              </w:r>
            </w:del>
            <w:ins w:id="36" w:author="冯佳淇" w:date="2026-08-28T08:00:00Z">
              <w:r>
                <w:rPr>
                  <w:rFonts w:ascii="仿宋_GB2312" w:hAnsi="仿宋_GB2312" w:eastAsia="仿宋_GB2312" w:cs="仿宋_GB2312"/>
                  <w:sz w:val="20"/>
                  <w:szCs w:val="20"/>
                </w:rPr>
                <w:t xml:space="preserve">6.778</w:t>
              </w:r>
            </w:ins>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6.778</w:t>
            </w:r>
          </w:p>
        </w:tc>
      </w:tr>
    </w:tbl>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十四、主要风险</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政府性应收款占比较高、回款较慢的风险。截至2026年6月末，发行人政府性应收款主要分为应收账款及其他应收款，分别为1,816,408.62万元及676,091.96万元，合计为2,492,500.58万元。其中应收账款主要为应收济宁市兖州区财政局市政工程项目回款、土地整理开发项目回款，以及应收济宁市兖州区自然资源综合服务中心的土地回款和济宁市兖州区融通投资有限公司的土地转让款，均为经营性应收账款，整体回收风险较小。公司其他应收款主要为应收济宁市兖州区财政局等单位的征地预存款、借款及往来款。发行人政府性应收款占扣除重点关注资产后净资产比例为——%，占比较高，报告期内回款进度较慢，可能对发行人偿债能力产生一定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非经营性其他应收款规模较大的风险。截至2026年6月末，发行人其他应收款账面价值为1,662,716.11万元，其中，非经营性其他应收款账面价值为——万元，占其他应收款账面价值总额的比例为——，主要系发行人应收济宁市惠兴控股集团有限公司、大安镇财政所等单位的往来款，发行人非经营性其他应收款规模较大，若经济形势大幅波动或对手方经营状况恶化等因素导致相关款项未能及时回收，可能对发行人日常经营和偿债能力造成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3、存货规模较大、流动性较弱的风险。2024年、2025年和2026年6月末，发行人存货分别为1,240,394.93万元、1,034,076.10万元和953,030.10万元，占总资产比例分别为18.26%、16.05%和14.72%，占比较高。公司存货主要由代建项目、商品房开发成本和土地资产构成，规模较大且流动性较弱。截至2026年6月末，发行人存货-开发成本中的代建项目账面余额为——万元，公司代建项目对手方为兖州区财政局，建成后将主要由兖州区财政局陆续回款。代建项目回款受政府结算安排影响，虽然款项收回可能性较大，但回款周期较长，回款进度具有一定不确定性。</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4、金融资产不易及时变现的风险。2024年、2025年和2026年6月末，发行人其他债权投资为2,566.36万元、2,566.36万元和2,566.36万元，其他非流动金融资产为125,896.49万元、307,232.33万元和317,232.33万元。发行人金融资产主要系银行不良资产投资及股权投资，如发行人未来经营发生重大不利变化，金融资产不易及时变现，可能会在一定程度上影响到发行人的偿债能力。</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5、受限资产较大的风险。截至2026年6月末，公司受限资产金额为——亿元，占当年末净资产的比例为——%。发行人受限资产主要为货币资金、存货和投资性房地产中的土地资产，加之土地资产的变现受市场价格波动影响较大，故受限资产在一定程度上影响发行人偿债能力。如果未来发行人流动性发生重大变化，无法按时偿还债务，相应的受限资产将面临转移风险，将对发行人资产变现偿付造成不利的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6、有息负债规模较大及短期偿债压力较大的风险。2024年、2025年和2026年6月末，发行人有息负债分别为265.78亿元、246.20亿元和231.99亿元，有息负债规模较大，在负债总额中占比分别为66.59%、68.54%和63.86%，发行人有息债务规模较大且占总负债比例较高，主要由短期借款、一年内到期的非流动负债、长期借款、应付债券等构成。截至2026年6月末，发行人有息债务合计231.99亿元，其中，短期借款与一年内到期的非流动负债合计118.15亿元，占期末有息债务的比例为50.93%。发行人短期债务规模较大，可能对发行人的正常运营带来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7、信托等非传统融资规模较大的风险。发行人在以传统融资方式进行融资的同时，还广泛采用了信托等其他非传统的融资渠道。2024年、2025年和2026年6月末，发行人非传统融资余额分别为35.94亿元、50.70亿元和——亿元，占有息债务总额的比例分别为13.85%、19.08%和——%。近年来，发行人调整优化融资结构，非传统融资规模及占比下降幅度较大，但仍存在较大规模非传统融资。对于非传统融资方式的依赖可能会对公司的偿债能力产生一定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8、或有负债风险。截至2026年6月末，公司对外担保合计金额为577,030.99万元，占净资产的比例为20.31%。发行人对外担保对象主要为地方国有企业济宁市兖州区融通投资有限公司、济宁市济东投资发展集团有限公司。虽然目前发行人主要对外担保对象经营情况良好，但是若被担保对象在未来生产经营活动、投资活动发生重大不利变化、财务状况下滑、资金链紧张等因素，不能或不愿偿付到期债务，则可能导致发行人承担连带担保责任或代偿风险，进而对发行人的融资能力和盈利能力产生不利的影响，从而可能影响债券本息的偿付。</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9、EBITDA保障倍数较低的风险。截至2024年末、2025年末和2026年6月末，发行人EBITDA利息保障倍数分别为0.63、1.40和——，发行人税息折旧及摊销前利润对利息的覆盖能力仍相对有限。若发行人融资成本控制出现重大不利变动或盈利能力产生较大程度下降的情况，可能会对发行人的偿债能力产生一定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10、可使用授信额度较小的风险。截至2026年6月末，发行人在各金融机构的授信额度总额为——万元，其中已使用额度为——万元，剩余授信余额为——万元。发行人可使用授信额度较小，如未来出现债务集中兑付的情况，可能对发行人流动性产生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11、现金流波动风险。2024年、2025年和2026年1-6月，发行人的经营活动产生的现金流量净额分别为-707,296.19万元、551,756.69万元和17,644.06万元，波动幅度较大；筹资活动产生的现金流量净额分别为725,842.49万元、-431,360.84万元和35,533.84万元，筹资活动产生的现金流量净额不稳定且2025年度由正数转为负值。投资活动产生的现金流量净额分别为32,071.76万元、-171,537.97万元和8,180.33万元。2024年、2025年和2026年1-6月，发行人现金及现金等价物净增加额分别为50,618.05万元、-51,142.12万元和61,358.22万元，期末现金及现金等价物余额分别为75,375.01万元、24,232.89万元和85,591.11万元。发行人现金流对债务的保障能力较弱，现金流的不稳定可能会对公司的偿债能力产生一定的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12、期间费用金额较大的风险。2024年、2025年和2026年1-6月，发行人期间费用分别为142,537.04万元、128,585.67万元和58,169.56万元，期间费用率分别为26.71%、37.53%和56.60%，期间费用总额及占营业收入比例均较高，主要是由于报告期内发行人财务费用金额较高。如果未来发行人期间费用管控中出现重大不利情形，期间费用增加将对公司的盈利能力造成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13、盈利依赖政府补贴的风险。2024年、2025年和2026年1-6月，发行人净利润分别为38,065.12万元、57,496.94万元和16,623.24万元，财政补贴收入分别为179,575.68万元、170,935.79万元和84,271.18万元，政府补贴占净利润比分别为471.76%、297.30%和507.0%。发行人存在盈利水平对政府补贴依赖程度偏高的风险，如果未来发行人收到的政府补贴收入减少，从而可能对发行人盈利能力和偿债能力造成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14、投资性房地产公允价值变动的风险。2024年、2025年和2026年1-6月，发行人投资性房地产公允价值变动收益分别为-1,333.28万元、58.96万元和0.00万元。发行人对投资性房地产按照公允价值计量，如未来房地产价格出现大幅度不利变动，可能对发行人资产状况和盈利水平造成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15、市政工程收入来源集中及盈利波动风险。2024年、2025年和2026年1-6月，发行人的营业收入分别为533,548.93万元、342,590.80万元和102,774.90万元，其中市政工程业务收入金额分别为200,200.00万元、207,154.56万元和90,742.48万元，占营业收入的比重分别为37.52%、60.47%和88.29%。发行人市政工程业务收入规模较大，主要由于发行人与兖州区政府签订了委托代建协议，市政工程业务的毛利率比较稳定，能带来较为稳定的利润，但是由于发行人市政工程收入来源过于集中，存在项目开工不及预期、项目结算进度缓慢导致发行人业务增长受限的风险。2024年、2025年和2026年1-6月，发行人营业毛利率分别为8.35%、12.37%和13.28%。</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16、运营效率较低的风险。2024年、2025年和2026年1-6月，公司应收账款周转率分别为0.36、0.20和0.06，存货周转率分别为0.31、0.26和0.09，整体来看，上述运营效率指标处于较低水平。公司运营效率较低主要是由其经营业务特点决定，随着经营规模的扩大，发行人市政工程建设项目投入规模较大而项目回款周期较长，存货及应收账款余额较高。</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17、转让土地使用权业务未来收入不稳定的风险。2024年、2025年和2026年1-6月，发行人转让土地使用权业务收入分别为4,282.30万元、57,102.71万元和0.00万元，占当期营业收入的比例分别为0.80%、16.67%和0.00%。发行人的转让土地使用权业务由政府统筹规划，每年按照政府规划有序转让土地使用权，未来的土地转让业务收入具有一定的不确定性，可能对发行人盈利能力造成不利影响。</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十五、人员配备</w:t>
      </w:r>
    </w:p>
    <w:tbl>
      <w:tblPr>
        <w:tblStyle w:val="TableGrid"/>
        <w:tblW w:type="auto" w:w="0"/>
        <w:tblLook w:firstColumn="1" w:firstRow="1" w:lastColumn="0" w:lastRow="0" w:noHBand="0" w:noVBand="1" w:val="04A0"/>
      </w:tblPr>
      <w:tblGrid>
        <w:gridCol w:w="1530"/>
        <w:gridCol w:w="1530"/>
        <w:gridCol w:w="1530"/>
        <w:gridCol w:w="1530"/>
        <w:gridCol w:w="1530"/>
        <w:gridCol w:w="1530"/>
      </w:tblGrid>
      <w:tr>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序号</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姓名</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职位</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学历</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经验年限</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工作内容</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余之悠</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承做岗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硕士研究生</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尽职调查、申报材料撰写、工作底稿整理、反馈回复及销售</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殷柏林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承做岗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硕士研究生</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8</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尽职调查、申报材料撰写、工作底稿整理、反馈回复及销售</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韦欣怡</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承做岗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硕士研究生</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4</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尽职调查、申报材料撰写、工作底稿整理、反馈回复及销售</w:t>
            </w:r>
          </w:p>
        </w:tc>
      </w:tr>
    </w:tbl>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十六、项目时间安排表</w:t>
      </w:r>
    </w:p>
    <w:tbl>
      <w:tblPr>
        <w:tblStyle w:val="TableGrid"/>
        <w:tblW w:type="auto" w:w="0"/>
        <w:tblLook w:firstColumn="1" w:firstRow="1" w:lastColumn="0" w:lastRow="0" w:noHBand="0" w:noVBand="1" w:val="04A0"/>
      </w:tblPr>
      <w:tblGrid>
        <w:gridCol w:w="3060"/>
        <w:gridCol w:w="3060"/>
        <w:gridCol w:w="3060"/>
      </w:tblGrid>
      <w:tr>
        <w:tc>
          <w:tcPr>
            <w:tcW w:type="dxa" w:w="306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阶段</w:t>
            </w:r>
          </w:p>
        </w:tc>
        <w:tc>
          <w:tcPr>
            <w:tcW w:type="dxa" w:w="306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计划时间</w:t>
            </w:r>
          </w:p>
        </w:tc>
        <w:tc>
          <w:tcPr>
            <w:tcW w:type="dxa" w:w="306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工作内容</w:t>
            </w:r>
          </w:p>
        </w:tc>
      </w:tr>
      <w:tr>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现场工作阶段</w:t>
            </w:r>
          </w:p>
        </w:tc>
        <w:tc>
          <w:tcPr>
            <w:tcW w:type="dxa" w:w="3060"/>
          </w:tcPr>
          <w:p>
            <w:pPr>
              <w:spacing w:line="360" w:lineRule="auto" w:after="80"/>
              <w:rPr>
                <w:rFonts w:ascii="仿宋_GB2312" w:hAnsi="仿宋_GB2312" w:eastAsia="仿宋_GB2312" w:cs="仿宋_GB2312"/>
                <w:sz w:val="20"/>
                <w:szCs w:val="20"/>
              </w:rPr>
            </w:pPr>
            <w:r/>
            <w:del w:id="37" w:author="冯佳淇" w:date="2026-08-28T08:00:00Z">
              <w:r>
                <w:rPr>
                  <w:rFonts w:ascii="仿宋_GB2312" w:hAnsi="仿宋_GB2312" w:eastAsia="仿宋_GB2312" w:cs="仿宋_GB2312"/>
                  <w:sz w:val="20"/>
                  <w:szCs w:val="20"/>
                </w:rPr>
                <w:delText xml:space="preserve">2026年4月中旬-6月下旬</w:delText>
              </w:r>
            </w:del>
            <w:ins w:id="38" w:author="冯佳淇" w:date="2026-08-28T08:00:00Z">
              <w:r>
                <w:rPr>
                  <w:rFonts w:ascii="仿宋_GB2312" w:hAnsi="仿宋_GB2312" w:eastAsia="仿宋_GB2312" w:cs="仿宋_GB2312"/>
                  <w:sz w:val="20"/>
                  <w:szCs w:val="20"/>
                </w:rPr>
                <w:t xml:space="preserve">2026年4月-8月</w:t>
              </w:r>
            </w:ins>
          </w:p>
        </w:tc>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尽职调查、方案拟定、资料收集、内部文件及募集说明书撰写</w:t>
            </w:r>
          </w:p>
        </w:tc>
      </w:tr>
      <w:tr>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内核审核阶段</w:t>
            </w:r>
          </w:p>
        </w:tc>
        <w:tc>
          <w:tcPr>
            <w:tcW w:type="dxa" w:w="3060"/>
          </w:tcPr>
          <w:p>
            <w:pPr>
              <w:spacing w:line="360" w:lineRule="auto" w:after="80"/>
              <w:rPr>
                <w:rFonts w:ascii="仿宋_GB2312" w:hAnsi="仿宋_GB2312" w:eastAsia="仿宋_GB2312" w:cs="仿宋_GB2312"/>
                <w:sz w:val="20"/>
                <w:szCs w:val="20"/>
              </w:rPr>
            </w:pPr>
            <w:r/>
            <w:del w:id="39" w:author="冯佳淇" w:date="2026-08-28T08:00:00Z">
              <w:r>
                <w:rPr>
                  <w:rFonts w:ascii="仿宋_GB2312" w:hAnsi="仿宋_GB2312" w:eastAsia="仿宋_GB2312" w:cs="仿宋_GB2312"/>
                  <w:sz w:val="20"/>
                  <w:szCs w:val="20"/>
                </w:rPr>
                <w:delText xml:space="preserve">2026年7月上旬-7月中旬</w:delText>
              </w:r>
            </w:del>
            <w:ins w:id="40" w:author="冯佳淇" w:date="2026-08-28T08:00:00Z">
              <w:r>
                <w:rPr>
                  <w:rFonts w:ascii="仿宋_GB2312" w:hAnsi="仿宋_GB2312" w:eastAsia="仿宋_GB2312" w:cs="仿宋_GB2312"/>
                  <w:sz w:val="20"/>
                  <w:szCs w:val="20"/>
                </w:rPr>
                <w:t xml:space="preserve">2026年8月下旬-9月上旬</w:t>
              </w:r>
            </w:ins>
          </w:p>
        </w:tc>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法律意见书、全套申报材料及内核程序</w:t>
            </w:r>
          </w:p>
        </w:tc>
      </w:tr>
      <w:tr>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反馈注册阶段</w:t>
            </w:r>
          </w:p>
        </w:tc>
        <w:tc>
          <w:tcPr>
            <w:tcW w:type="dxa" w:w="3060"/>
          </w:tcPr>
          <w:p>
            <w:pPr>
              <w:spacing w:line="360" w:lineRule="auto" w:after="80"/>
              <w:rPr>
                <w:rFonts w:ascii="仿宋_GB2312" w:hAnsi="仿宋_GB2312" w:eastAsia="仿宋_GB2312" w:cs="仿宋_GB2312"/>
                <w:sz w:val="20"/>
                <w:szCs w:val="20"/>
              </w:rPr>
            </w:pPr>
            <w:r/>
            <w:del w:id="41" w:author="冯佳淇" w:date="2026-08-28T08:00:00Z">
              <w:r>
                <w:rPr>
                  <w:rFonts w:ascii="仿宋_GB2312" w:hAnsi="仿宋_GB2312" w:eastAsia="仿宋_GB2312" w:cs="仿宋_GB2312"/>
                  <w:sz w:val="20"/>
                  <w:szCs w:val="20"/>
                </w:rPr>
                <w:delText xml:space="preserve">2026年7月下旬-9月上旬</w:delText>
              </w:r>
            </w:del>
            <w:ins w:id="42" w:author="冯佳淇" w:date="2026-08-28T08:00:00Z">
              <w:r>
                <w:rPr>
                  <w:rFonts w:ascii="仿宋_GB2312" w:hAnsi="仿宋_GB2312" w:eastAsia="仿宋_GB2312" w:cs="仿宋_GB2312"/>
                  <w:sz w:val="20"/>
                  <w:szCs w:val="20"/>
                </w:rPr>
                <w:t xml:space="preserve">2026年9月-10月</w:t>
              </w:r>
            </w:ins>
          </w:p>
        </w:tc>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申报交易所、回复反馈、取得批文</w:t>
            </w:r>
          </w:p>
        </w:tc>
      </w:tr>
      <w:tr>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发行阶段</w:t>
            </w:r>
          </w:p>
        </w:tc>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批文有效期内</w:t>
            </w:r>
          </w:p>
        </w:tc>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债券批文有效期为1年，根据公司需求及市场利率走势确定具体发行时间</w:t>
            </w:r>
          </w:p>
        </w:tc>
      </w:tr>
    </w:tbl>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十七、收费情况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债券承销费及受托管理报酬合计为0.20%/年。甬兴证券有限公司为牵头主承销商、受托管理人、簿记管理人，德邦证券股份有限公司为联席主承销商。按获批规模67,800万元、期限5年测算，本项目预计收入为678万元。</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十八、判断结论</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济宁市兖州区惠民城建投资有限公司符合非公开发行公司债券的基本条件。发行人属于济宁市兖州区</w:t>
      </w:r>
      <w:del w:id="43" w:author="冯佳淇" w:date="2026-08-28T08:00:00Z">
        <w:r>
          <w:rPr>
            <w:rFonts w:ascii="仿宋_GB2312" w:hAnsi="仿宋_GB2312" w:eastAsia="仿宋_GB2312" w:cs="仿宋_GB2312"/>
            <w:sz w:val="24"/>
            <w:szCs w:val="24"/>
          </w:rPr>
          <w:delText xml:space="preserve">国有资产监督管理局</w:delText>
        </w:r>
      </w:del>
      <w:ins w:id="44" w:author="冯佳淇" w:date="2026-08-28T08:00:00Z">
        <w:r>
          <w:rPr>
            <w:rFonts w:ascii="仿宋_GB2312" w:hAnsi="仿宋_GB2312" w:eastAsia="仿宋_GB2312" w:cs="仿宋_GB2312"/>
            <w:sz w:val="24"/>
            <w:szCs w:val="24"/>
          </w:rPr>
          <w:t xml:space="preserve">财政局</w:t>
        </w:r>
      </w:ins>
      <w:r>
        <w:rPr>
          <w:rFonts w:ascii="仿宋_GB2312" w:hAnsi="仿宋_GB2312" w:eastAsia="仿宋_GB2312" w:cs="仿宋_GB2312"/>
          <w:sz w:val="24"/>
          <w:szCs w:val="24"/>
        </w:rPr>
        <w:t xml:space="preserve">实际控制的国有企业。发行人经营收入、外部筹资及股东支持将为本次公司债券的还本付息提供保障。</w:t>
      </w:r>
    </w:p>
    <w:p>
      <w:pPr>
        <w:spacing w:line="360" w:lineRule="auto" w:after="80"/>
        <w:ind w:firstLine="420"/>
        <w:rPr>
          <w:rFonts w:ascii="仿宋_GB2312" w:hAnsi="仿宋_GB2312" w:eastAsia="仿宋_GB2312" w:cs="仿宋_GB2312"/>
          <w:sz w:val="24"/>
          <w:szCs w:val="24"/>
        </w:rPr>
      </w:pPr>
      <w:del w:id="45" w:author="冯佳淇" w:date="2026-08-28T08:00:00Z">
        <w:r>
          <w:rPr>
            <w:rFonts w:ascii="仿宋_GB2312" w:hAnsi="仿宋_GB2312" w:eastAsia="仿宋_GB2312" w:cs="仿宋_GB2312"/>
            <w:sz w:val="24"/>
            <w:szCs w:val="24"/>
          </w:rPr>
          <w:delText xml:space="preserve">本次债券由我司作为独家主承销商、受托管理人，本次债券预计收益为678万元，将为公司带来较好收益。</w:delText>
        </w:r>
      </w:del>
      <w:ins w:id="46" w:author="冯佳淇" w:date="2026-08-28T08:00:00Z">
        <w:r>
          <w:rPr>
            <w:rFonts w:ascii="仿宋_GB2312" w:hAnsi="仿宋_GB2312" w:eastAsia="仿宋_GB2312" w:cs="仿宋_GB2312"/>
            <w:sz w:val="24"/>
            <w:szCs w:val="24"/>
          </w:rPr>
          <w:t xml:space="preserve">本次债券由甬兴证券有限公司作为牵头主承销商、受托管理人、簿记管理人，德邦证券股份有限公司作为联席主承销商，预计收益为678万元。</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综上，本项目风险总体可控，可操作性较强，可以为我司带来较为合理的收入，建议立项。</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济宁市兖州区惠民城建投资有限公司非公开发行公司债券项目立项申请报告</dc:title>
  <dc:subject/>
  <dc:creator>冯佳淇</dc:creator>
  <cp:keywords/>
  <dc:description>generated by python-docx</dc:description>
  <cp:lastModifiedBy>冯佳淇</cp:lastModifiedBy>
  <cp:revision>4</cp:revision>
  <dcterms:created xsi:type="dcterms:W3CDTF">2026-05-13T00:00:00Z</dcterms:created>
  <dcterms:modified xsi:type="dcterms:W3CDTF">2026-08-28T00:00:00Z</dcterms:modified>
  <cp:category/>
</cp:coreProperties>
</file>