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60" w:lineRule="auto"/>
        <w:jc w:val="center"/>
        <w:rPr>
          <w:rFonts w:ascii="仿宋_GB2312" w:hAnsi="仿宋_GB2312" w:eastAsia="仿宋_GB2312" w:cs="仿宋_GB2312"/>
          <w:sz w:val="36"/>
          <w:szCs w:val="36"/>
        </w:rPr>
      </w:pPr>
      <w:r>
        <w:rPr>
          <w:rFonts w:ascii="仿宋_GB2312" w:hAnsi="仿宋_GB2312" w:eastAsia="仿宋_GB2312" w:cs="仿宋_GB2312"/>
          <w:sz w:val="36"/>
          <w:szCs w:val="36"/>
          <w:b/>
          <w:bCs/>
        </w:rPr>
        <w:t xml:space="preserve">济宁市兖州区惠民城建投资有限公司</w:t>
      </w:r>
    </w:p>
    <w:p>
      <w:pPr>
        <w:spacing w:before="240" w:after="80" w:line="360" w:lineRule="auto"/>
        <w:jc w:val="center"/>
        <w:rPr>
          <w:rFonts w:ascii="仿宋_GB2312" w:hAnsi="仿宋_GB2312" w:eastAsia="仿宋_GB2312" w:cs="仿宋_GB2312"/>
          <w:sz w:val="36"/>
          <w:szCs w:val="36"/>
        </w:rPr>
      </w:pPr>
      <w:r>
        <w:rPr>
          <w:rFonts w:ascii="仿宋_GB2312" w:hAnsi="仿宋_GB2312" w:eastAsia="仿宋_GB2312" w:cs="仿宋_GB2312"/>
          <w:sz w:val="36"/>
          <w:szCs w:val="36"/>
          <w:b/>
          <w:bCs/>
        </w:rPr>
        <w:t xml:space="preserve">非公开发行公司债券项目</w:t>
      </w:r>
    </w:p>
    <w:p>
      <w:pPr>
        <w:spacing w:before="240" w:after="80" w:line="360" w:lineRule="auto"/>
        <w:jc w:val="center"/>
        <w:rPr>
          <w:rFonts w:ascii="仿宋_GB2312" w:hAnsi="仿宋_GB2312" w:eastAsia="仿宋_GB2312" w:cs="仿宋_GB2312"/>
          <w:sz w:val="36"/>
          <w:szCs w:val="36"/>
        </w:rPr>
      </w:pPr>
      <w:r>
        <w:rPr>
          <w:rFonts w:ascii="仿宋_GB2312" w:hAnsi="仿宋_GB2312" w:eastAsia="仿宋_GB2312" w:cs="仿宋_GB2312"/>
          <w:sz w:val="36"/>
          <w:szCs w:val="36"/>
          <w:b/>
          <w:bCs/>
        </w:rPr>
        <w:t xml:space="preserve">立项申请报告</w:t>
      </w:r>
    </w:p>
    <w:p>
      <w:pPr>
        <w:spacing w:line="360" w:lineRule="auto" w:after="80"/>
        <w:rPr>
          <w:rFonts w:ascii="仿宋_GB2312" w:hAnsi="仿宋_GB2312" w:eastAsia="仿宋_GB2312" w:cs="仿宋_GB2312"/>
          <w:sz w:val="24"/>
          <w:szCs w:val="24"/>
        </w:rPr>
      </w:pPr>
      <w:r>
        <w:rPr>
          <w:rFonts w:ascii="仿宋_GB2312" w:hAnsi="仿宋_GB2312" w:eastAsia="仿宋_GB2312" w:cs="仿宋_GB2312"/>
          <w:sz w:val="24"/>
          <w:szCs w:val="24"/>
        </w:rPr>
        <w:t xml:space="preserve">所属部组：企业融资部    提交时间：</w:t>
      </w:r>
      <w:del w:id="2" w:author="冯佳淇" w:date="2026-08-28T08:00:00Z">
        <w:r>
          <w:rPr>
            <w:rFonts w:ascii="仿宋_GB2312" w:hAnsi="仿宋_GB2312" w:eastAsia="仿宋_GB2312" w:cs="仿宋_GB2312"/>
            <w:sz w:val="24"/>
            <w:szCs w:val="24"/>
          </w:rPr>
          <w:delText xml:space="preserve">2026年5月13日</w:delText>
        </w:r>
      </w:del>
      <w:ins w:id="3" w:author="冯佳淇" w:date="2026-08-28T08:00:00Z">
        <w:r>
          <w:rPr>
            <w:rFonts w:ascii="仿宋_GB2312" w:hAnsi="仿宋_GB2312" w:eastAsia="仿宋_GB2312" w:cs="仿宋_GB2312"/>
            <w:sz w:val="24"/>
            <w:szCs w:val="24"/>
          </w:rPr>
          <w:t xml:space="preserve">2026年8月28日</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一、客户名称</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济宁市兖州区惠民城建投资有限公司。</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二、项目类型</w:t>
      </w:r>
    </w:p>
    <w:p>
      <w:pPr>
        <w:spacing w:line="360" w:lineRule="auto" w:after="80"/>
        <w:ind w:firstLine="420"/>
        <w:rPr>
          <w:rFonts w:ascii="仿宋_GB2312" w:hAnsi="仿宋_GB2312" w:eastAsia="仿宋_GB2312" w:cs="仿宋_GB2312"/>
          <w:sz w:val="24"/>
          <w:szCs w:val="24"/>
        </w:rPr>
      </w:pPr>
      <w:del w:id="4" w:author="冯佳淇" w:date="2026-08-28T08:00:00Z">
        <w:r>
          <w:rPr>
            <w:rFonts w:ascii="仿宋_GB2312" w:hAnsi="仿宋_GB2312" w:eastAsia="仿宋_GB2312" w:cs="仿宋_GB2312"/>
            <w:sz w:val="24"/>
            <w:szCs w:val="24"/>
          </w:rPr>
          <w:delText xml:space="preserve">非公开发行债券。</w:delText>
        </w:r>
      </w:del>
      <w:ins w:id="5" w:author="冯佳淇" w:date="2026-08-28T08:00:00Z">
        <w:r>
          <w:rPr>
            <w:rFonts w:ascii="仿宋_GB2312" w:hAnsi="仿宋_GB2312" w:eastAsia="仿宋_GB2312" w:cs="仿宋_GB2312"/>
            <w:sz w:val="24"/>
            <w:szCs w:val="24"/>
          </w:rPr>
          <w:t xml:space="preserve">面向专业投资者非公开发行公司债券。</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三、公司角色</w:t>
      </w:r>
    </w:p>
    <w:p>
      <w:pPr>
        <w:spacing w:line="360" w:lineRule="auto" w:after="80"/>
        <w:ind w:firstLine="420"/>
        <w:rPr>
          <w:rFonts w:ascii="仿宋_GB2312" w:hAnsi="仿宋_GB2312" w:eastAsia="仿宋_GB2312" w:cs="仿宋_GB2312"/>
          <w:sz w:val="24"/>
          <w:szCs w:val="24"/>
        </w:rPr>
      </w:pPr>
      <w:del w:id="6" w:author="冯佳淇" w:date="2026-08-28T08:00:00Z">
        <w:r>
          <w:rPr>
            <w:rFonts w:ascii="仿宋_GB2312" w:hAnsi="仿宋_GB2312" w:eastAsia="仿宋_GB2312" w:cs="仿宋_GB2312"/>
            <w:sz w:val="24"/>
            <w:szCs w:val="24"/>
          </w:rPr>
          <w:delText xml:space="preserve">主承销商、受托管理人。</w:delText>
        </w:r>
      </w:del>
      <w:ins w:id="7" w:author="冯佳淇" w:date="2026-08-28T08:00:00Z">
        <w:r>
          <w:rPr>
            <w:rFonts w:ascii="仿宋_GB2312" w:hAnsi="仿宋_GB2312" w:eastAsia="仿宋_GB2312" w:cs="仿宋_GB2312"/>
            <w:sz w:val="24"/>
            <w:szCs w:val="24"/>
          </w:rPr>
          <w:t xml:space="preserve">联席主承销商、受托管理人、簿记管理人（甬兴证券有限公司）；德邦证券股份有限公司为联席主承销商。</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四、承销方式</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本次债券由主承销商以余额包销</w:t>
      </w:r>
      <w:del w:id="8" w:author="冯佳淇" w:date="2026-08-28T08:00:00Z">
        <w:r>
          <w:rPr>
            <w:rFonts w:ascii="仿宋_GB2312" w:hAnsi="仿宋_GB2312" w:eastAsia="仿宋_GB2312" w:cs="仿宋_GB2312"/>
            <w:sz w:val="24"/>
            <w:szCs w:val="24"/>
          </w:rPr>
          <w:delText xml:space="preserve">的方式承销。</w:delText>
        </w:r>
      </w:del>
      <w:ins w:id="9" w:author="冯佳淇" w:date="2026-08-28T08:00:00Z">
        <w:r>
          <w:rPr>
            <w:rFonts w:ascii="仿宋_GB2312" w:hAnsi="仿宋_GB2312" w:eastAsia="仿宋_GB2312" w:cs="仿宋_GB2312"/>
            <w:sz w:val="24"/>
            <w:szCs w:val="24"/>
          </w:rPr>
          <w:t xml:space="preserve">方式承销。本次债券发行方式为簿记建档发行。</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五、是否构成关联交易项目</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否。</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六、是否存在聘请第三方中介机构的情形</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否。</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七、项目主要条款设计</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1、发行主体：济宁市兖州区惠民城建投资有限公司。</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2、债券全称：济宁市兖州区惠民城建投资有限公司2026年面向专业投资者非公开发行公司债券。</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3、发行规模：</w:t>
      </w:r>
      <w:del w:id="10" w:author="冯佳淇" w:date="2026-08-28T08:00:00Z">
        <w:r>
          <w:rPr>
            <w:rFonts w:ascii="仿宋_GB2312" w:hAnsi="仿宋_GB2312" w:eastAsia="仿宋_GB2312" w:cs="仿宋_GB2312"/>
            <w:sz w:val="24"/>
            <w:szCs w:val="24"/>
          </w:rPr>
          <w:delText xml:space="preserve">本次债券总规模不超过6.78亿元（含6.78亿元）。</w:delText>
        </w:r>
      </w:del>
      <w:ins w:id="11" w:author="冯佳淇" w:date="2026-08-28T08:00:00Z">
        <w:r>
          <w:rPr>
            <w:rFonts w:ascii="仿宋_GB2312" w:hAnsi="仿宋_GB2312" w:eastAsia="仿宋_GB2312" w:cs="仿宋_GB2312"/>
            <w:sz w:val="24"/>
            <w:szCs w:val="24"/>
          </w:rPr>
          <w:t xml:space="preserve">本次债券发行总额不超过人民币6.78亿元（含6.78亿元）。本次公司债券发行面值余额不超过6.78亿元（含6.78亿元），拟采取分期方式发行。挂牌转让场所：上海证券交易所。</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4、债券期限：本次债券期限</w:t>
      </w:r>
      <w:del w:id="12" w:author="冯佳淇" w:date="2026-08-28T08:00:00Z">
        <w:r>
          <w:rPr>
            <w:rFonts w:ascii="仿宋_GB2312" w:hAnsi="仿宋_GB2312" w:eastAsia="仿宋_GB2312" w:cs="仿宋_GB2312"/>
            <w:sz w:val="24"/>
            <w:szCs w:val="24"/>
          </w:rPr>
          <w:delText xml:space="preserve">不超过10年（含10年），可为单一期限品种，也可为多种期限的混合品种。</w:delText>
        </w:r>
      </w:del>
      <w:ins w:id="13" w:author="冯佳淇" w:date="2026-08-28T08:00:00Z">
        <w:r>
          <w:rPr>
            <w:rFonts w:ascii="仿宋_GB2312" w:hAnsi="仿宋_GB2312" w:eastAsia="仿宋_GB2312" w:cs="仿宋_GB2312"/>
            <w:sz w:val="24"/>
            <w:szCs w:val="24"/>
          </w:rPr>
          <w:t xml:space="preserve">为不超过5年（含5年）。本次债券面值为100元，按面值平价发行。本次债券为固定利率，票面利率根据网下询价簿记结果，由发行人与主承销商按照国家有关规定共同协商确定。本次债券采用单利计息，不计复利，付息频率为按年付息。每年付息一次，到期一次还本，最后一期利息随本金的兑付一起支付。</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5、评级情况：经中证鹏元资信评估股份有限公司评定，发行人</w:t>
      </w:r>
      <w:del w:id="14" w:author="冯佳淇" w:date="2026-08-28T08:00:00Z">
        <w:r>
          <w:rPr>
            <w:rFonts w:ascii="仿宋_GB2312" w:hAnsi="仿宋_GB2312" w:eastAsia="仿宋_GB2312" w:cs="仿宋_GB2312"/>
            <w:sz w:val="24"/>
            <w:szCs w:val="24"/>
          </w:rPr>
          <w:delText xml:space="preserve">主体信用等级为AA+，评级展望为稳定。</w:delText>
        </w:r>
      </w:del>
      <w:ins w:id="15" w:author="冯佳淇" w:date="2026-08-28T08:00:00Z">
        <w:r>
          <w:rPr>
            <w:rFonts w:ascii="仿宋_GB2312" w:hAnsi="仿宋_GB2312" w:eastAsia="仿宋_GB2312" w:cs="仿宋_GB2312"/>
            <w:sz w:val="24"/>
            <w:szCs w:val="24"/>
          </w:rPr>
          <w:t xml:space="preserve">的主体信用等级为AA+，评级展望为稳定；本次债券未评级。</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6、增信措施：本次债券不设定增信措施。</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7、募集资金用途：本次债券募集资金</w:t>
      </w:r>
      <w:del w:id="16" w:author="冯佳淇" w:date="2026-08-28T08:00:00Z">
        <w:r>
          <w:rPr>
            <w:rFonts w:ascii="仿宋_GB2312" w:hAnsi="仿宋_GB2312" w:eastAsia="仿宋_GB2312" w:cs="仿宋_GB2312"/>
            <w:sz w:val="24"/>
            <w:szCs w:val="24"/>
          </w:rPr>
          <w:delText xml:space="preserve">扣除发行费用后，全部用于偿还公司债券本金。</w:delText>
        </w:r>
      </w:del>
      <w:ins w:id="17" w:author="冯佳淇" w:date="2026-08-28T08:00:00Z">
        <w:r>
          <w:rPr>
            <w:rFonts w:ascii="仿宋_GB2312" w:hAnsi="仿宋_GB2312" w:eastAsia="仿宋_GB2312" w:cs="仿宋_GB2312"/>
            <w:sz w:val="24"/>
            <w:szCs w:val="24"/>
          </w:rPr>
          <w:t xml:space="preserve">在扣除发行费用后，拟全部用于偿还公司债券本金。</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8、主承销商：甬兴证券有限公司、德邦证券股份有限公司。受托管理人、簿记管理人：甬兴证券有限公司。</w:t>
      </w:r>
      <w:ins w:id="18" w:author="冯佳淇" w:date="2026-08-28T08:00:00Z">
        <w:r>
          <w:rPr>
            <w:rFonts w:ascii="仿宋_GB2312" w:hAnsi="仿宋_GB2312" w:eastAsia="仿宋_GB2312" w:cs="仿宋_GB2312"/>
            <w:sz w:val="24"/>
            <w:szCs w:val="24"/>
          </w:rPr>
          <w:t xml:space="preserve">发行对象：本次债券面向专业投资者非公开发行。发行方式：本次债券发行方式为簿记建档发行。承销方式：本次债券由主承销商以余额包销方式承销。本次债券采取面向不超过200名专业投资者非公开方式发行。质押式回购安排：本次公司债券发行结束后，认购人不可进行债券质押式回购。</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八、发行人背景</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发行人概况。中文名称：济宁市兖州区惠民城建投资有限公司。法定代表人：赵文广。注册资本：人民币370,117.51万元。实缴资本：人民币370,117.51万元。成立日期：2002年6月24日。注册地址：济宁市兖州区建设西路（牛旺地质家园西邻）。办公地址：济宁市兖州区建设西路（牛旺地质家园西邻）。统一社会信用代码/注册号：91370882740225002D。截至本报告签署日，济宁市济东投资发展集团有限公司持有发行人100.00%股权，为发行人的控股股东。</w:t>
      </w:r>
      <w:del w:id="19" w:author="冯佳淇" w:date="2026-08-28T08:00:00Z">
        <w:r>
          <w:rPr>
            <w:rFonts w:ascii="仿宋_GB2312" w:hAnsi="仿宋_GB2312" w:eastAsia="仿宋_GB2312" w:cs="仿宋_GB2312"/>
            <w:sz w:val="24"/>
            <w:szCs w:val="24"/>
          </w:rPr>
          <w:delText xml:space="preserve">实际控制人：济宁市兖州区国有资产监督管理局。</w:delText>
        </w:r>
      </w:del>
      <w:ins w:id="20" w:author="冯佳淇" w:date="2026-08-28T08:00:00Z">
        <w:r>
          <w:rPr>
            <w:rFonts w:ascii="仿宋_GB2312" w:hAnsi="仿宋_GB2312" w:eastAsia="仿宋_GB2312" w:cs="仿宋_GB2312"/>
            <w:sz w:val="24"/>
            <w:szCs w:val="24"/>
          </w:rPr>
          <w:t xml:space="preserve">济宁市兖州区财政局持有发行人控股股东济宁市济东投资发展集团有限公司100.00%股权，为发行人的实际控制人。</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2、发行人有息债务情况。2024年、2025年和2026年6月末，发行人有息负债分别为265.78亿元、246.20亿元和231.99亿元，有息负债规模较大，在负债总额中占比分别为66.59%、68.54%和63.86%。截至2026年6月末，发行人有息债务合计231.99亿元，其中，短期借款与一年内到期的非流动负债合计118.15亿元，占期末有息债务的比例为50.93%。</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3、发行人银行授信情况。截至2026年6月末，发行人在各金融机构的授信额度总额为</w:t>
      </w:r>
      <w:r>
        <w:rPr>
          <w:rFonts w:ascii="仿宋_GB2312" w:hAnsi="仿宋_GB2312" w:eastAsia="仿宋_GB2312" w:cs="仿宋_GB2312"/>
          <w:sz w:val="24"/>
          <w:szCs w:val="24"/>
          <w:highlight w:val="yellow"/>
        </w:rPr>
        <w:t xml:space="preserve">——</w:t>
      </w:r>
      <w:r>
        <w:rPr>
          <w:rFonts w:ascii="仿宋_GB2312" w:hAnsi="仿宋_GB2312" w:eastAsia="仿宋_GB2312" w:cs="仿宋_GB2312"/>
          <w:sz w:val="24"/>
          <w:szCs w:val="24"/>
        </w:rPr>
        <w:t xml:space="preserve">万元，其中已使用额度为</w:t>
      </w:r>
      <w:r>
        <w:rPr>
          <w:rFonts w:ascii="仿宋_GB2312" w:hAnsi="仿宋_GB2312" w:eastAsia="仿宋_GB2312" w:cs="仿宋_GB2312"/>
          <w:sz w:val="24"/>
          <w:szCs w:val="24"/>
          <w:highlight w:val="yellow"/>
        </w:rPr>
        <w:t xml:space="preserve">——</w:t>
      </w:r>
      <w:r>
        <w:rPr>
          <w:rFonts w:ascii="仿宋_GB2312" w:hAnsi="仿宋_GB2312" w:eastAsia="仿宋_GB2312" w:cs="仿宋_GB2312"/>
          <w:sz w:val="24"/>
          <w:szCs w:val="24"/>
        </w:rPr>
        <w:t xml:space="preserve">万元，剩余授信余额为</w:t>
      </w:r>
      <w:r>
        <w:rPr>
          <w:rFonts w:ascii="仿宋_GB2312" w:hAnsi="仿宋_GB2312" w:eastAsia="仿宋_GB2312" w:cs="仿宋_GB2312"/>
          <w:sz w:val="24"/>
          <w:szCs w:val="24"/>
          <w:highlight w:val="yellow"/>
        </w:rPr>
        <w:t xml:space="preserve">——</w:t>
      </w:r>
      <w:r>
        <w:rPr>
          <w:rFonts w:ascii="仿宋_GB2312" w:hAnsi="仿宋_GB2312" w:eastAsia="仿宋_GB2312" w:cs="仿宋_GB2312"/>
          <w:sz w:val="24"/>
          <w:szCs w:val="24"/>
        </w:rPr>
        <w:t xml:space="preserve">万元。</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4、发行人对外担保情况。截至2026年6月末，公司对外担保合计金额为577,030.99万元，占净资产的比例为20.31%。发行人对外担保对象主要为地方国有企业济宁市兖州区融通投资有限公司、济宁市济东投资发展集团有限公司和济宁市兖州区惠嘉置业有限公司。</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5、发行人受限资产情况。截至2026年6月末，公司受限资产金额为</w:t>
      </w:r>
      <w:r>
        <w:rPr>
          <w:rFonts w:ascii="仿宋_GB2312" w:hAnsi="仿宋_GB2312" w:eastAsia="仿宋_GB2312" w:cs="仿宋_GB2312"/>
          <w:sz w:val="24"/>
          <w:szCs w:val="24"/>
          <w:highlight w:val="yellow"/>
        </w:rPr>
        <w:t xml:space="preserve">——</w:t>
      </w:r>
      <w:r>
        <w:rPr>
          <w:rFonts w:ascii="仿宋_GB2312" w:hAnsi="仿宋_GB2312" w:eastAsia="仿宋_GB2312" w:cs="仿宋_GB2312"/>
          <w:sz w:val="24"/>
          <w:szCs w:val="24"/>
        </w:rPr>
        <w:t xml:space="preserve">亿元，占当年末净资产的比例为</w:t>
      </w:r>
      <w:r>
        <w:rPr>
          <w:rFonts w:ascii="仿宋_GB2312" w:hAnsi="仿宋_GB2312" w:eastAsia="仿宋_GB2312" w:cs="仿宋_GB2312"/>
          <w:sz w:val="24"/>
          <w:szCs w:val="24"/>
          <w:highlight w:val="yellow"/>
        </w:rPr>
        <w:t xml:space="preserve">——</w:t>
      </w:r>
      <w:r>
        <w:rPr>
          <w:rFonts w:ascii="仿宋_GB2312" w:hAnsi="仿宋_GB2312" w:eastAsia="仿宋_GB2312" w:cs="仿宋_GB2312"/>
          <w:sz w:val="24"/>
          <w:szCs w:val="24"/>
        </w:rPr>
        <w:t xml:space="preserve">%。发行人受限资产主要为货币资金、存货和投资性房地产中的土地资产。</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6、发行人关联方应收款及其他或有负债。截至2026年6月末，发行人其他应收款账面价值为1,662,716.11万元，其中，非经营性其他应收款账面价值为</w:t>
      </w:r>
      <w:r>
        <w:rPr>
          <w:rFonts w:ascii="仿宋_GB2312" w:hAnsi="仿宋_GB2312" w:eastAsia="仿宋_GB2312" w:cs="仿宋_GB2312"/>
          <w:sz w:val="24"/>
          <w:szCs w:val="24"/>
          <w:highlight w:val="yellow"/>
        </w:rPr>
        <w:t xml:space="preserve">——</w:t>
      </w:r>
      <w:r>
        <w:rPr>
          <w:rFonts w:ascii="仿宋_GB2312" w:hAnsi="仿宋_GB2312" w:eastAsia="仿宋_GB2312" w:cs="仿宋_GB2312"/>
          <w:sz w:val="24"/>
          <w:szCs w:val="24"/>
        </w:rPr>
        <w:t xml:space="preserve">万元，占其他应收款账面价值总额的比例为</w:t>
      </w:r>
      <w:r>
        <w:rPr>
          <w:rFonts w:ascii="仿宋_GB2312" w:hAnsi="仿宋_GB2312" w:eastAsia="仿宋_GB2312" w:cs="仿宋_GB2312"/>
          <w:sz w:val="24"/>
          <w:szCs w:val="24"/>
          <w:highlight w:val="yellow"/>
        </w:rPr>
        <w:t xml:space="preserve">——</w:t>
      </w:r>
      <w:r>
        <w:rPr>
          <w:rFonts w:ascii="仿宋_GB2312" w:hAnsi="仿宋_GB2312" w:eastAsia="仿宋_GB2312" w:cs="仿宋_GB2312"/>
          <w:sz w:val="24"/>
          <w:szCs w:val="24"/>
        </w:rPr>
        <w:t xml:space="preserve">，主要系发行人应收济宁市惠兴控股集团有限公司、大安镇财政所等单位的往来款。截至2026年6月末，发行人政府性应收款主要分为应收账款及其他应收款，分别为1,816,408.62万元及676,091.96万元，合计为2,492,500.58万元。截至报告期末，公司不存在重大未决诉讼、仲裁事项。</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7、发行人业务情况。从业务板块来看，市政工程施工、商品销售收入、转让土地使用权业务收入是发行人营业收入的主要来源。2024年、2025年和2026年1-6月，发行人分别实现主营业务收入518,190.51万元、264,862.80万元和102,322.26万元，营业收入合计分别为533,548.93万元、342,590.80万元和102,774.90万元。发行人市政工程业务收入分别占营业收入的37.52%、60.47%和88.29%；商品销售收入分别占营业收入的56.05%、14.52%和7.80%；转让土地使用权业务收入分别占营业收入的0.80%、16.67%和0.00%；房屋销售业务收入分别占营业收入的3.55%、2.32%和3.46%。2024年、2025年和2026年1-6月，发行人市政工程业务收入金额分别为200,200.00万元、207,154.56万元和90,742.48万元；商品销售收入分别为299,048.06万元、49,730.46万元和8,019.50万元；转让土地使用权业务收入分别为4,282.30万元、57,102.71万元和0.00万元。</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8、发行人子公司情况。截至2026年6月末，发行人纳入合并报表范围的子公司为10家，相比2025年末，发行人划入子公司济宁市兖州区融科供应链管理有限公司、山东惠园工投招商服务有限公司纳入发行人合并报表范围内，济宁市兖州区惠民均和实业发展有限公司不再纳入发行人合并报表范围内。截至2026年6月末，发行人纳入合并范围的下属一级子公司有4家。发行人对于最近一年经审计的总资产、净资产或营业收入任一项指标占合并报表相关指标比例超过30%的子公司认定为具有重要影响的子公司。截至最近一年末，发行人重要子公司为济宁市惠丰产业发展投资有限公司。截至2025年12月31日，惠丰产业总资产为2,489,181.59万元，净资产为862,384.90万元，负债合计1,626,796.69万元。2025年度，惠丰产业实现营业收入107,925.54万元，实现净利润-32,631.76万元。</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九、发行人主要财务数据及指标</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山东舜天信诚会计师事务所（特殊普通合伙）对发行人2024年和2025年度财务报表进行了审计，并分别出具了鲁舜审字[2025]第0182号和鲁舜审字[2026]第0270号标准无保留意见的审计报告。发行人编制了2026年1-6月财务报表，该等财务报表未经审计。</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发行人最近两年及一期的主要财务指标如下：</w:t>
      </w:r>
    </w:p>
    <w:tbl>
      <w:tblPr>
        <w:tblStyle w:val="TableGrid"/>
        <w:tblW w:type="auto" w:w="0"/>
        <w:tblLook w:firstColumn="1" w:firstRow="1" w:lastColumn="0" w:lastRow="0" w:noHBand="0" w:noVBand="1" w:val="04A0"/>
      </w:tblPr>
      <w:tblGrid>
        <w:gridCol w:w="2295"/>
        <w:gridCol w:w="2295"/>
        <w:gridCol w:w="2295"/>
        <w:gridCol w:w="2295"/>
      </w:tblGrid>
      <w:tr>
        <w:tc>
          <w:tcPr>
            <w:tcW w:type="dxa" w:w="2295"/>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项目</w:t>
            </w:r>
          </w:p>
        </w:tc>
        <w:tc>
          <w:tcPr>
            <w:tcW w:type="dxa" w:w="2295"/>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2026年6月末/1-6月</w:t>
            </w:r>
          </w:p>
        </w:tc>
        <w:tc>
          <w:tcPr>
            <w:tcW w:type="dxa" w:w="2295"/>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2025年度/末</w:t>
            </w:r>
          </w:p>
        </w:tc>
        <w:tc>
          <w:tcPr>
            <w:tcW w:type="dxa" w:w="2295"/>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2024年度/末</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总资产（亿元）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647.36</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644.41</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679.47</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总负债（亿元）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363.28</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359.22</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399.12</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全部债务（亿元）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258.79</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278.07</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301.23</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所有者权益（亿元）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284.08</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285.19</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280.35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营业总收入（亿元）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10.28</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34.26</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53.35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利润总额（亿元）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1.66</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5.76</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3.84</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净利润（亿元）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1.66</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5.75</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3.81</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扣除非经常性损益后净利润（亿元）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highlight w:val="yellow"/>
              </w:rPr>
              <w:t xml:space="preserve">——</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5.87</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3.12</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归属于母公司所有者的净利润（亿元）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1.66</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5.74</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3.75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经营活动产生现金流量净额（亿元）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1.76</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55.18</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-70.73</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投资活动产生现金流量净额（亿元）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0.82</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-17.15</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3.21</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筹资活动产生现金流量净额（亿元）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3.55</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-43.14</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72.58</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流动比率</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1.99</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2.50</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2.53</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速动比率</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1.60</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1.97</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资产负债率（%）</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56.12</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55.74</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58.74</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债务资本比率（%）</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47.67</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49.37</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51.79</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营业毛利率（%）</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13.28</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12.37</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8.35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加权平均净资产收益率（%）</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0.59</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2.04</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1.34</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扣非后加权平均净资产收益率（%）</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highlight w:val="yellow"/>
              </w:rPr>
              <w:t xml:space="preserve">——</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2.10</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2.15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EBITDA（亿元）</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highlight w:val="yellow"/>
              </w:rPr>
              <w:t xml:space="preserve">——</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19.83</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13.32</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EBITDA全部债务比</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highlight w:val="yellow"/>
              </w:rPr>
              <w:t xml:space="preserve">——</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7.13</w:t>
            </w:r>
          </w:p>
        </w:tc>
        <w:tc>
          <w:tcPr>
            <w:tcW w:type="dxa" w:w="2295"/>
          </w:tcPr>
          <w:p>
            <w:pPr>
              <w:spacing w:line="360" w:lineRule="auto" w:after="80"/>
              <w:rPr>
                <w:rFonts w:ascii="仿宋_GB2312" w:hAnsi="仿宋_GB2312" w:eastAsia="仿宋_GB2312" w:cs="仿宋_GB2312"/>
                <w:sz w:val="20"/>
                <w:szCs w:val="20"/>
              </w:rPr>
            </w:pPr>
            <w:r/>
            <w:del w:id="21" w:author="冯佳淇" w:date="2026-08-28T08:00:00Z">
              <w:r>
                <w:rPr>
                  <w:rFonts w:ascii="仿宋_GB2312" w:hAnsi="仿宋_GB2312" w:eastAsia="仿宋_GB2312" w:cs="仿宋_GB2312"/>
                  <w:sz w:val="20"/>
                  <w:szCs w:val="20"/>
                </w:rPr>
                <w:delText xml:space="preserve">0.04</w:delText>
              </w:r>
            </w:del>
            <w:ins w:id="22" w:author="冯佳淇" w:date="2026-08-28T08:00:00Z">
              <w:r>
                <w:rPr>
                  <w:rFonts w:ascii="仿宋_GB2312" w:hAnsi="仿宋_GB2312" w:eastAsia="仿宋_GB2312" w:cs="仿宋_GB2312"/>
                  <w:sz w:val="20"/>
                  <w:szCs w:val="20"/>
                </w:rPr>
                <w:t xml:space="preserve">4.42</w:t>
              </w:r>
            </w:ins>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EBITDA利息保障倍数</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highlight w:val="yellow"/>
              </w:rPr>
              <w:t xml:space="preserve">——</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1.40</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0.63</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应收账款周转率</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0.06</w:t>
            </w:r>
          </w:p>
        </w:tc>
        <w:tc>
          <w:tcPr>
            <w:tcW w:type="dxa" w:w="2295"/>
          </w:tcPr>
          <w:p>
            <w:pPr>
              <w:spacing w:line="360" w:lineRule="auto" w:after="80"/>
              <w:rPr>
                <w:rFonts w:ascii="仿宋_GB2312" w:hAnsi="仿宋_GB2312" w:eastAsia="仿宋_GB2312" w:cs="仿宋_GB2312"/>
                <w:sz w:val="20"/>
                <w:szCs w:val="20"/>
              </w:rPr>
            </w:pPr>
            <w:r/>
            <w:del w:id="23" w:author="冯佳淇" w:date="2026-08-28T08:00:00Z">
              <w:r>
                <w:rPr>
                  <w:rFonts w:ascii="仿宋_GB2312" w:hAnsi="仿宋_GB2312" w:eastAsia="仿宋_GB2312" w:cs="仿宋_GB2312"/>
                  <w:sz w:val="20"/>
                  <w:szCs w:val="20"/>
                </w:rPr>
                <w:delText xml:space="preserve">0.05</w:delText>
              </w:r>
            </w:del>
            <w:ins w:id="24" w:author="冯佳淇" w:date="2026-08-28T08:00:00Z">
              <w:r>
                <w:rPr>
                  <w:rFonts w:ascii="仿宋_GB2312" w:hAnsi="仿宋_GB2312" w:eastAsia="仿宋_GB2312" w:cs="仿宋_GB2312"/>
                  <w:sz w:val="20"/>
                  <w:szCs w:val="20"/>
                </w:rPr>
                <w:t xml:space="preserve">0.20</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0.36</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存货周转率</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0.09</w:t>
            </w:r>
          </w:p>
        </w:tc>
        <w:tc>
          <w:tcPr>
            <w:tcW w:type="dxa" w:w="2295"/>
          </w:tcPr>
          <w:p>
            <w:pPr>
              <w:spacing w:line="360" w:lineRule="auto" w:after="80"/>
              <w:rPr>
                <w:rFonts w:ascii="仿宋_GB2312" w:hAnsi="仿宋_GB2312" w:eastAsia="仿宋_GB2312" w:cs="仿宋_GB2312"/>
                <w:sz w:val="20"/>
                <w:szCs w:val="20"/>
              </w:rPr>
            </w:pPr>
            <w:r/>
            <w:del w:id="25" w:author="冯佳淇" w:date="2026-08-28T08:00:00Z">
              <w:r>
                <w:rPr>
                  <w:rFonts w:ascii="仿宋_GB2312" w:hAnsi="仿宋_GB2312" w:eastAsia="仿宋_GB2312" w:cs="仿宋_GB2312"/>
                  <w:sz w:val="20"/>
                  <w:szCs w:val="20"/>
                </w:rPr>
                <w:delText xml:space="preserve">0.20</w:delText>
              </w:r>
            </w:del>
            <w:ins w:id="26" w:author="冯佳淇" w:date="2026-08-28T08:00:00Z">
              <w:r>
                <w:rPr>
                  <w:rFonts w:ascii="仿宋_GB2312" w:hAnsi="仿宋_GB2312" w:eastAsia="仿宋_GB2312" w:cs="仿宋_GB2312"/>
                  <w:sz w:val="20"/>
                  <w:szCs w:val="20"/>
                </w:rPr>
                <w:t xml:space="preserve">0.26</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0.31</w:t>
            </w:r>
          </w:p>
        </w:tc>
      </w:tr>
    </w:tbl>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十、发行可行性分析</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发行人将按照《公司章程》规定履行内部决策程序，及时、公平地履行信息披露义务。本次债券面向专业投资者非公开发行。本次债券采取面向不超过200名专业投资者非公开方式发行。发行人拟聘请甬兴证券有限公司作为牵头主承销商、受托管理人、簿记管理人，聘请德邦证券股份有限公司作为联席主承销商，聘请山东恒正律师事务所出具法律意见书。本次债券发行结束后将申请在上海证券交易所挂牌转让。</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经核查，立项小组认为发行人本次非公开发行公司债券符合《公司法》《证券法》《公司债券发行与交易管理办法》等现行规定，具备非公开发行公司债券并在证券交易所挂牌转让条件。发行人不属于《非公开发行公司债券项目承接负面清单指引（2024年修订）》所禁止的企业。</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十一、发行人偿债能力分析</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报告期内各期末，发行人流动比率分别为2.53、2.50和1.99，速动比率分别为1.95、1.97和1.60，资产负债率分别为58.74%、55.74%和56.12%。最近两年，公司EBITDA利息保障倍数分别为0.63和1.40。</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本期债券的偿债资金主要来源于发行人自身运营收入、外部融资渠道以及政府支持。2024年、2025年和2026年1-6月，发行人分别实现营业收入533,548.93万元、342,590.80万元和102,774.90万元，实现归属于母公司所有者的净利润分别为37,475.46万元、57,421.49万元和16,646.40万元。</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十二、债券担保情况</w:t>
      </w:r>
    </w:p>
    <w:p>
      <w:pPr>
        <w:spacing w:line="360" w:lineRule="auto" w:after="80"/>
        <w:ind w:firstLine="420"/>
        <w:rPr>
          <w:rFonts w:ascii="仿宋_GB2312" w:hAnsi="仿宋_GB2312" w:eastAsia="仿宋_GB2312" w:cs="仿宋_GB2312"/>
          <w:sz w:val="24"/>
          <w:szCs w:val="24"/>
        </w:rPr>
      </w:pPr>
      <w:del w:id="27" w:author="冯佳淇" w:date="2026-08-28T08:00:00Z">
        <w:r>
          <w:rPr>
            <w:rFonts w:ascii="仿宋_GB2312" w:hAnsi="仿宋_GB2312" w:eastAsia="仿宋_GB2312" w:cs="仿宋_GB2312"/>
            <w:sz w:val="24"/>
            <w:szCs w:val="24"/>
          </w:rPr>
          <w:delText xml:space="preserve">本次债券无担保。</w:delText>
        </w:r>
      </w:del>
      <w:ins w:id="28" w:author="冯佳淇" w:date="2026-08-28T08:00:00Z">
        <w:r>
          <w:rPr>
            <w:rFonts w:ascii="仿宋_GB2312" w:hAnsi="仿宋_GB2312" w:eastAsia="仿宋_GB2312" w:cs="仿宋_GB2312"/>
            <w:sz w:val="24"/>
            <w:szCs w:val="24"/>
          </w:rPr>
          <w:t xml:space="preserve">本次债券不设定增信措施。</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十三、本期债券募集资金用途</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本次公司债券募集资金扣除发行费用后，拟全部用于偿还公司债券本金。发行人承诺，本次债券不用于偿还公司到期公司债券本金以外用途。发行人承诺本次债券募集资金用途与其他项目不存在重复。发行人承诺本次非公开发行公司债券不涉及新增地方政府债务，募集资金不用于偿还地方政府债务或不产生经营性收入的公益性项目。明细如下：</w:t>
      </w:r>
    </w:p>
    <w:tbl>
      <w:tblPr>
        <w:tblStyle w:val="TableGrid"/>
        <w:tblW w:type="auto" w:w="0"/>
        <w:tblLook w:firstColumn="1" w:firstRow="1" w:lastColumn="0" w:lastRow="0" w:noHBand="0" w:noVBand="1" w:val="04A0"/>
      </w:tblPr>
      <w:tblGrid>
        <w:gridCol w:w="1530"/>
        <w:gridCol w:w="1530"/>
        <w:gridCol w:w="1530"/>
        <w:gridCol w:w="1530"/>
        <w:gridCol w:w="1530"/>
        <w:gridCol w:w="1530"/>
      </w:tblGrid>
      <w:tr>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债券简称</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债券余额（亿元）</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起息日</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回售日</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到期日</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拟使用募集资金（亿元）</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22兖投01</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1.90</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2022-01-27</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2025-01-27</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2027-01-27</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1.90</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23兖投01</w:t>
            </w:r>
          </w:p>
        </w:tc>
        <w:tc>
          <w:tcPr>
            <w:tcW w:type="dxa" w:w="1530"/>
          </w:tcPr>
          <w:p>
            <w:pPr>
              <w:spacing w:line="360" w:lineRule="auto" w:after="80"/>
              <w:rPr>
                <w:rFonts w:ascii="仿宋_GB2312" w:hAnsi="仿宋_GB2312" w:eastAsia="仿宋_GB2312" w:cs="仿宋_GB2312"/>
                <w:sz w:val="20"/>
                <w:szCs w:val="20"/>
              </w:rPr>
            </w:pPr>
            <w:r/>
            <w:del w:id="29" w:author="冯佳淇" w:date="2026-08-28T08:00:00Z">
              <w:r>
                <w:rPr>
                  <w:rFonts w:ascii="仿宋_GB2312" w:hAnsi="仿宋_GB2312" w:eastAsia="仿宋_GB2312" w:cs="仿宋_GB2312"/>
                  <w:sz w:val="20"/>
                  <w:szCs w:val="20"/>
                </w:rPr>
                <w:delText xml:space="preserve">0.38</w:delText>
              </w:r>
            </w:del>
            <w:ins w:id="30" w:author="冯佳淇" w:date="2026-08-28T08:00:00Z">
              <w:r>
                <w:rPr>
                  <w:rFonts w:ascii="仿宋_GB2312" w:hAnsi="仿宋_GB2312" w:eastAsia="仿宋_GB2312" w:cs="仿宋_GB2312"/>
                  <w:sz w:val="20"/>
                  <w:szCs w:val="20"/>
                </w:rPr>
                <w:t xml:space="preserve">0.378</w:t>
              </w:r>
            </w:ins>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2023-03-14</w:t>
            </w:r>
          </w:p>
        </w:tc>
        <w:tc>
          <w:tcPr>
            <w:tcW w:type="dxa" w:w="1530"/>
          </w:tcPr>
          <w:p>
            <w:pPr>
              <w:spacing w:line="360" w:lineRule="auto" w:after="80"/>
              <w:rPr>
                <w:rFonts w:ascii="仿宋_GB2312" w:hAnsi="仿宋_GB2312" w:eastAsia="仿宋_GB2312" w:cs="仿宋_GB2312"/>
                <w:sz w:val="20"/>
                <w:szCs w:val="20"/>
              </w:rPr>
            </w:pPr>
            <w:r/>
            <w:del w:id="31" w:author="冯佳淇" w:date="2026-08-28T08:00:00Z">
              <w:r>
                <w:rPr>
                  <w:rFonts w:ascii="仿宋_GB2312" w:hAnsi="仿宋_GB2312" w:eastAsia="仿宋_GB2312" w:cs="仿宋_GB2312"/>
                  <w:sz w:val="20"/>
                  <w:szCs w:val="20"/>
                </w:rPr>
                <w:delText xml:space="preserve">2027-3-14</w:delText>
              </w:r>
            </w:del>
            <w:ins w:id="32" w:author="冯佳淇" w:date="2026-08-28T08:00:00Z">
              <w:r>
                <w:rPr>
                  <w:rFonts w:ascii="仿宋_GB2312" w:hAnsi="仿宋_GB2312" w:eastAsia="仿宋_GB2312" w:cs="仿宋_GB2312"/>
                  <w:sz w:val="20"/>
                  <w:szCs w:val="20"/>
                </w:rPr>
                <w:t xml:space="preserve">2025-03-14、2027-03-14</w:t>
              </w:r>
            </w:ins>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2028-03-14</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0.378</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24兖投01</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3.10</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2024-04-25</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2027-04-25</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2029-04-25</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3.10</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22兖州01</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1.40</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2022-05-24</w:t>
            </w:r>
          </w:p>
        </w:tc>
        <w:tc>
          <w:tcPr>
            <w:tcW w:type="dxa" w:w="1530"/>
          </w:tcPr>
          <w:p>
            <w:pPr>
              <w:spacing w:line="360" w:lineRule="auto" w:after="80"/>
              <w:rPr>
                <w:rFonts w:ascii="仿宋_GB2312" w:hAnsi="仿宋_GB2312" w:eastAsia="仿宋_GB2312" w:cs="仿宋_GB2312"/>
                <w:sz w:val="20"/>
                <w:szCs w:val="20"/>
              </w:rPr>
            </w:pPr>
            <w:r/>
            <w:del w:id="33" w:author="冯佳淇" w:date="2026-08-28T08:00:00Z">
              <w:r>
                <w:rPr>
                  <w:rFonts w:ascii="仿宋_GB2312" w:hAnsi="仿宋_GB2312" w:eastAsia="仿宋_GB2312" w:cs="仿宋_GB2312"/>
                  <w:sz w:val="20"/>
                  <w:szCs w:val="20"/>
                </w:rPr>
                <w:delText xml:space="preserve">2026-5-24</w:delText>
              </w:r>
            </w:del>
            <w:ins w:id="34" w:author="冯佳淇" w:date="2026-08-28T08:00:00Z">
              <w:r>
                <w:rPr>
                  <w:rFonts w:ascii="仿宋_GB2312" w:hAnsi="仿宋_GB2312" w:eastAsia="仿宋_GB2312" w:cs="仿宋_GB2312"/>
                  <w:sz w:val="20"/>
                  <w:szCs w:val="20"/>
                </w:rPr>
                <w:t xml:space="preserve">2024-05-24、2026-05-24</w:t>
              </w:r>
            </w:ins>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2027-05-24</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1.40</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合计</w:t>
            </w:r>
          </w:p>
        </w:tc>
        <w:tc>
          <w:tcPr>
            <w:tcW w:type="dxa" w:w="1530"/>
          </w:tcPr>
          <w:p>
            <w:pPr>
              <w:spacing w:line="360" w:lineRule="auto" w:after="80"/>
              <w:rPr>
                <w:rFonts w:ascii="仿宋_GB2312" w:hAnsi="仿宋_GB2312" w:eastAsia="仿宋_GB2312" w:cs="仿宋_GB2312"/>
                <w:sz w:val="20"/>
                <w:szCs w:val="20"/>
              </w:rPr>
            </w:pPr>
            <w:r/>
            <w:del w:id="35" w:author="冯佳淇" w:date="2026-08-28T08:00:00Z">
              <w:r>
                <w:rPr>
                  <w:rFonts w:ascii="仿宋_GB2312" w:hAnsi="仿宋_GB2312" w:eastAsia="仿宋_GB2312" w:cs="仿宋_GB2312"/>
                  <w:sz w:val="20"/>
                  <w:szCs w:val="20"/>
                </w:rPr>
                <w:delText xml:space="preserve">6.78</w:delText>
              </w:r>
            </w:del>
            <w:ins w:id="36" w:author="冯佳淇" w:date="2026-08-28T08:00:00Z">
              <w:r>
                <w:rPr>
                  <w:rFonts w:ascii="仿宋_GB2312" w:hAnsi="仿宋_GB2312" w:eastAsia="仿宋_GB2312" w:cs="仿宋_GB2312"/>
                  <w:sz w:val="20"/>
                  <w:szCs w:val="20"/>
                </w:rPr>
                <w:t xml:space="preserve">6.778</w:t>
              </w:r>
            </w:ins>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6.778</w:t>
            </w:r>
          </w:p>
        </w:tc>
      </w:tr>
    </w:tbl>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十四、主要风险</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政府性应收款占比较高、回款较慢的风险。截至2026年6月末，发行人政府性应收款主要分为应收账款及其他应收款，分别为1,816,408.62万元及676,091.96万元，合计为2,492,500.58万元。其中应收账款主要为应收济宁市兖州区财政局市政工程项目回款、土地整理开发项目回款，以及应收济宁市兖州区自然资源综合服务中心的土地回款和济宁市兖州区融通投资有限公司的土地转让款，均为经营性应收账款，整体回收风险较小。公司其他应收款主要为应收济宁市兖州区财政局等单位的征地预存款、借款及往来款。发行人政府性应收款占扣除重点关注资产后净资产比例为</w:t>
      </w:r>
      <w:r>
        <w:rPr>
          <w:rFonts w:ascii="仿宋_GB2312" w:hAnsi="仿宋_GB2312" w:eastAsia="仿宋_GB2312" w:cs="仿宋_GB2312"/>
          <w:sz w:val="24"/>
          <w:szCs w:val="24"/>
          <w:highlight w:val="yellow"/>
        </w:rPr>
        <w:t xml:space="preserve">——</w:t>
      </w:r>
      <w:r>
        <w:rPr>
          <w:rFonts w:ascii="仿宋_GB2312" w:hAnsi="仿宋_GB2312" w:eastAsia="仿宋_GB2312" w:cs="仿宋_GB2312"/>
          <w:sz w:val="24"/>
          <w:szCs w:val="24"/>
        </w:rPr>
        <w:t xml:space="preserve">%，占比较高，报告期内回款进度较慢，可能对发行人偿债能力产生一定不利影响。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2、非经营性其他应收款规模较大的风险。截至2026年6月末，发行人其他应收款账面价值为1,662,716.11万元，其中，非经营性其他应收款账面价值为</w:t>
      </w:r>
      <w:r>
        <w:rPr>
          <w:rFonts w:ascii="仿宋_GB2312" w:hAnsi="仿宋_GB2312" w:eastAsia="仿宋_GB2312" w:cs="仿宋_GB2312"/>
          <w:sz w:val="24"/>
          <w:szCs w:val="24"/>
          <w:highlight w:val="yellow"/>
        </w:rPr>
        <w:t xml:space="preserve">——</w:t>
      </w:r>
      <w:r>
        <w:rPr>
          <w:rFonts w:ascii="仿宋_GB2312" w:hAnsi="仿宋_GB2312" w:eastAsia="仿宋_GB2312" w:cs="仿宋_GB2312"/>
          <w:sz w:val="24"/>
          <w:szCs w:val="24"/>
        </w:rPr>
        <w:t xml:space="preserve">万元，占其他应收款账面价值总额的比例为</w:t>
      </w:r>
      <w:r>
        <w:rPr>
          <w:rFonts w:ascii="仿宋_GB2312" w:hAnsi="仿宋_GB2312" w:eastAsia="仿宋_GB2312" w:cs="仿宋_GB2312"/>
          <w:sz w:val="24"/>
          <w:szCs w:val="24"/>
          <w:highlight w:val="yellow"/>
        </w:rPr>
        <w:t xml:space="preserve">——</w:t>
      </w:r>
      <w:r>
        <w:rPr>
          <w:rFonts w:ascii="仿宋_GB2312" w:hAnsi="仿宋_GB2312" w:eastAsia="仿宋_GB2312" w:cs="仿宋_GB2312"/>
          <w:sz w:val="24"/>
          <w:szCs w:val="24"/>
        </w:rPr>
        <w:t xml:space="preserve">，主要系发行人应收济宁市惠兴控股集团有限公司、大安镇财政所等单位的往来款，发行人非经营性其他应收款规模较大，若经济形势大幅波动或对手方经营状况恶化等因素导致相关款项未能及时回收，可能对发行人日常经营和偿债能力造成不利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3、存货规模较大、流动性较弱的风险。2024年、2025年和2026年6月末，发行人存货分别为1,240,394.93万元、1,034,076.10万元和953,030.10万元，占总资产比例分别为18.26%、16.05%和14.72%，占比较高。公司存货主要由代建项目、商品房开发成本和土地资产构成，规模较大且流动性较弱。截至2026年6月末，发行人存货-开发成本中的代建项目账面余额为</w:t>
      </w:r>
      <w:r>
        <w:rPr>
          <w:rFonts w:ascii="仿宋_GB2312" w:hAnsi="仿宋_GB2312" w:eastAsia="仿宋_GB2312" w:cs="仿宋_GB2312"/>
          <w:sz w:val="24"/>
          <w:szCs w:val="24"/>
          <w:highlight w:val="yellow"/>
        </w:rPr>
        <w:t xml:space="preserve">——</w:t>
      </w:r>
      <w:r>
        <w:rPr>
          <w:rFonts w:ascii="仿宋_GB2312" w:hAnsi="仿宋_GB2312" w:eastAsia="仿宋_GB2312" w:cs="仿宋_GB2312"/>
          <w:sz w:val="24"/>
          <w:szCs w:val="24"/>
        </w:rPr>
        <w:t xml:space="preserve">万元，公司代建项目对手方为兖州区财政局，建成后将主要由兖州区财政局陆续回款。代建项目回款受政府结算安排影响，虽然款项收回可能性较大，但回款周期较长，回款进度具有一定不确定性。</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4、金融资产不易及时变现的风险。2024年、2025年和2026年6月末，发行人其他债权投资为2,566.36万元、2,566.36万元和2,566.36万元，其他非流动金融资产为125,896.49万元、307,232.33万元和317,232.33万元。发行人金融资产主要系银行不良资产投资及股权投资，如发行人未来经营发生重大不利变化，金融资产不易及时变现，可能会在一定程度上影响到发行人的偿债能力。</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5、受限资产较大的风险。截至2026年6月末，公司受限资产金额为</w:t>
      </w:r>
      <w:r>
        <w:rPr>
          <w:rFonts w:ascii="仿宋_GB2312" w:hAnsi="仿宋_GB2312" w:eastAsia="仿宋_GB2312" w:cs="仿宋_GB2312"/>
          <w:sz w:val="24"/>
          <w:szCs w:val="24"/>
          <w:highlight w:val="yellow"/>
        </w:rPr>
        <w:t xml:space="preserve">——</w:t>
      </w:r>
      <w:r>
        <w:rPr>
          <w:rFonts w:ascii="仿宋_GB2312" w:hAnsi="仿宋_GB2312" w:eastAsia="仿宋_GB2312" w:cs="仿宋_GB2312"/>
          <w:sz w:val="24"/>
          <w:szCs w:val="24"/>
        </w:rPr>
        <w:t xml:space="preserve">亿元，占当年末净资产的比例为</w:t>
      </w:r>
      <w:r>
        <w:rPr>
          <w:rFonts w:ascii="仿宋_GB2312" w:hAnsi="仿宋_GB2312" w:eastAsia="仿宋_GB2312" w:cs="仿宋_GB2312"/>
          <w:sz w:val="24"/>
          <w:szCs w:val="24"/>
          <w:highlight w:val="yellow"/>
        </w:rPr>
        <w:t xml:space="preserve">——</w:t>
      </w:r>
      <w:r>
        <w:rPr>
          <w:rFonts w:ascii="仿宋_GB2312" w:hAnsi="仿宋_GB2312" w:eastAsia="仿宋_GB2312" w:cs="仿宋_GB2312"/>
          <w:sz w:val="24"/>
          <w:szCs w:val="24"/>
        </w:rPr>
        <w:t xml:space="preserve">%。发行人受限资产主要为货币资金、存货和投资性房地产中的土地资产，加之土地资产的变现受市场价格波动影响较大，故受限资产在一定程度上影响发行人偿债能力。如果未来发行人流动性发生重大变化，无法按时偿还债务，相应的受限资产将面临转移风险，将对发行人资产变现偿付造成不利的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6、有息负债规模较大及短期偿债压力较大的风险。2024年、2025年和2026年6月末，发行人有息负债分别为265.78亿元、246.20亿元和231.99亿元，有息负债规模较大，在负债总额中占比分别为66.59%、68.54%和63.86%，发行人有息债务规模较大且占总负债比例较高，主要由短期借款、一年内到期的非流动负债、长期借款、应付债券等构成。截至2026年6月末，发行人有息债务合计231.99亿元，其中，短期借款与一年内到期的非流动负债合计118.15亿元，占期末有息债务的比例为50.93%。发行人短期债务规模较大，可能对发行人的正常运营带来不利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7、信托等非传统融资规模较大的风险。发行人在以传统融资方式进行融资的同时，还广泛采用了信托等其他非传统的融资渠道。2024年、2025年和2026年6月末，发行人非传统融资余额分别为35.94亿元、50.70亿元和</w:t>
      </w:r>
      <w:r>
        <w:rPr>
          <w:rFonts w:ascii="仿宋_GB2312" w:hAnsi="仿宋_GB2312" w:eastAsia="仿宋_GB2312" w:cs="仿宋_GB2312"/>
          <w:sz w:val="24"/>
          <w:szCs w:val="24"/>
          <w:highlight w:val="yellow"/>
        </w:rPr>
        <w:t xml:space="preserve">——</w:t>
      </w:r>
      <w:r>
        <w:rPr>
          <w:rFonts w:ascii="仿宋_GB2312" w:hAnsi="仿宋_GB2312" w:eastAsia="仿宋_GB2312" w:cs="仿宋_GB2312"/>
          <w:sz w:val="24"/>
          <w:szCs w:val="24"/>
        </w:rPr>
        <w:t xml:space="preserve">亿元，占有息债务总额的比例分别为13.85%、19.08%和</w:t>
      </w:r>
      <w:r>
        <w:rPr>
          <w:rFonts w:ascii="仿宋_GB2312" w:hAnsi="仿宋_GB2312" w:eastAsia="仿宋_GB2312" w:cs="仿宋_GB2312"/>
          <w:sz w:val="24"/>
          <w:szCs w:val="24"/>
          <w:highlight w:val="yellow"/>
        </w:rPr>
        <w:t xml:space="preserve">——</w:t>
      </w:r>
      <w:r>
        <w:rPr>
          <w:rFonts w:ascii="仿宋_GB2312" w:hAnsi="仿宋_GB2312" w:eastAsia="仿宋_GB2312" w:cs="仿宋_GB2312"/>
          <w:sz w:val="24"/>
          <w:szCs w:val="24"/>
        </w:rPr>
        <w:t xml:space="preserve">%。近年来，发行人调整优化融资结构，非传统融资规模及占比下降幅度较大，但仍存在较大规模非传统融资。对于非传统融资方式的依赖可能会对公司的偿债能力产生一定影响。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8、或有负债风险。截至2026年6月末，公司对外担保合计金额为577,030.99万元，占净资产的比例为20.31%。发行人对外担保对象主要为地方国有企业济宁市兖州区融通投资有限公司、济宁市济东投资发展集团有限公司。虽然目前发行人主要对外担保对象经营情况良好，但是若被担保对象在未来生产经营活动、投资活动发生重大不利变化、财务状况下滑、资金链紧张等因素，不能或不愿偿付到期债务，则可能导致发行人承担连带担保责任或代偿风险，进而对发行人的融资能力和盈利能力产生不利的影响，从而可能影响债券本息的偿付。</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9、EBITDA保障倍数较低的风险。截至2024年末、2025年末和2026年6月末，发行人EBITDA利息保障倍数分别为0.63、1.40和</w:t>
      </w:r>
      <w:r>
        <w:rPr>
          <w:rFonts w:ascii="仿宋_GB2312" w:hAnsi="仿宋_GB2312" w:eastAsia="仿宋_GB2312" w:cs="仿宋_GB2312"/>
          <w:sz w:val="24"/>
          <w:szCs w:val="24"/>
          <w:highlight w:val="yellow"/>
        </w:rPr>
        <w:t xml:space="preserve">——</w:t>
      </w:r>
      <w:r>
        <w:rPr>
          <w:rFonts w:ascii="仿宋_GB2312" w:hAnsi="仿宋_GB2312" w:eastAsia="仿宋_GB2312" w:cs="仿宋_GB2312"/>
          <w:sz w:val="24"/>
          <w:szCs w:val="24"/>
        </w:rPr>
        <w:t xml:space="preserve">，发行人税息折旧及摊销前利润对利息的覆盖能力仍相对有限。若发行人融资成本控制出现重大不利变动或盈利能力产生较大程度下降的情况，可能会对发行人的偿债能力产生一定影响。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10、可使用授信额度较小的风险。截至2026年6月末，发行人在各金融机构的授信额度总额为</w:t>
      </w:r>
      <w:r>
        <w:rPr>
          <w:rFonts w:ascii="仿宋_GB2312" w:hAnsi="仿宋_GB2312" w:eastAsia="仿宋_GB2312" w:cs="仿宋_GB2312"/>
          <w:sz w:val="24"/>
          <w:szCs w:val="24"/>
          <w:highlight w:val="yellow"/>
        </w:rPr>
        <w:t xml:space="preserve">——</w:t>
      </w:r>
      <w:r>
        <w:rPr>
          <w:rFonts w:ascii="仿宋_GB2312" w:hAnsi="仿宋_GB2312" w:eastAsia="仿宋_GB2312" w:cs="仿宋_GB2312"/>
          <w:sz w:val="24"/>
          <w:szCs w:val="24"/>
        </w:rPr>
        <w:t xml:space="preserve">万元，其中已使用额度为</w:t>
      </w:r>
      <w:r>
        <w:rPr>
          <w:rFonts w:ascii="仿宋_GB2312" w:hAnsi="仿宋_GB2312" w:eastAsia="仿宋_GB2312" w:cs="仿宋_GB2312"/>
          <w:sz w:val="24"/>
          <w:szCs w:val="24"/>
          <w:highlight w:val="yellow"/>
        </w:rPr>
        <w:t xml:space="preserve">——</w:t>
      </w:r>
      <w:r>
        <w:rPr>
          <w:rFonts w:ascii="仿宋_GB2312" w:hAnsi="仿宋_GB2312" w:eastAsia="仿宋_GB2312" w:cs="仿宋_GB2312"/>
          <w:sz w:val="24"/>
          <w:szCs w:val="24"/>
        </w:rPr>
        <w:t xml:space="preserve">万元，剩余授信余额为</w:t>
      </w:r>
      <w:r>
        <w:rPr>
          <w:rFonts w:ascii="仿宋_GB2312" w:hAnsi="仿宋_GB2312" w:eastAsia="仿宋_GB2312" w:cs="仿宋_GB2312"/>
          <w:sz w:val="24"/>
          <w:szCs w:val="24"/>
          <w:highlight w:val="yellow"/>
        </w:rPr>
        <w:t xml:space="preserve">——</w:t>
      </w:r>
      <w:r>
        <w:rPr>
          <w:rFonts w:ascii="仿宋_GB2312" w:hAnsi="仿宋_GB2312" w:eastAsia="仿宋_GB2312" w:cs="仿宋_GB2312"/>
          <w:sz w:val="24"/>
          <w:szCs w:val="24"/>
        </w:rPr>
        <w:t xml:space="preserve">万元。发行人可使用授信额度较小，如未来出现债务集中兑付的情况，可能对发行人流动性产生不利影响。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11、现金流波动风险。2024年、2025年和2026年1-6月，发行人的经营活动产生的现金流量净额分别为-707,296.19万元、551,756.69万元和17,644.06万元，波动幅度较大；筹资活动产生的现金流量净额分别为725,842.49万元、-431,360.84万元和35,533.84万元，筹资活动产生的现金流量净额不稳定且2025年度由正数转为负值。投资活动产生的现金流量净额分别为32,071.76万元、-171,537.97万元和8,180.33万元。2024年、2025年和2026年1-6月，发行人现金及现金等价物净增加额分别为50,618.05万元、-51,142.12万元和61,358.22万元，期末现金及现金等价物余额分别为75,375.01万元、24,232.89万元和85,591.11万元。发行人现金流对债务的保障能力较弱，现金流的不稳定可能会对公司的偿债能力产生一定的不利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12、期间费用金额较大的风险。2024年、2025年和2026年1-6月，发行人期间费用分别为142,537.04万元、128,585.67万元和58,169.56万元，期间费用率分别为26.71%、37.53%和56.60%，期间费用总额及占营业收入比例均较高，主要是由于报告期内发行人财务费用金额较高。如果未来发行人期间费用管控中出现重大不利情形，期间费用增加将对公司的盈利能力造成不利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13、盈利依赖政府补贴的风险。2024年、2025年和2026年1-6月，发行人净利润分别为38,065.12万元、57,496.94万元和16,623.24万元，财政补贴收入分别为179,575.68万元、170,935.79万元和84,271.18万元，政府补贴占净利润比分别为471.76%、297.30%和507.0%。发行人存在盈利水平对政府补贴依赖程度偏高的风险，如果未来发行人收到的政府补贴收入减少，从而可能对发行人盈利能力和偿债能力造成不利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14、投资性房地产公允价值变动的风险。2024年、2025年和2026年1-6月，发行人投资性房地产公允价值变动收益分别为-1,333.28万元、58.96万元和0.00万元。发行人对投资性房地产按照公允价值计量，如未来房地产价格出现大幅度不利变动，可能对发行人资产状况和盈利水平造成不利影响。</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15、市政工程收入来源集中及盈利波动风险。2024年、2025年和2026年1-6月，发行人的营业收入分别为533,548.93万元、342,590.80万元和102,774.90万元，其中市政工程业务收入金额分别为200,200.00万元、207,154.56万元和90,742.48万元，占营业收入的比重分别为37.52%、60.47%和88.29%。发行人市政工程业务收入规模较大，主要由于发行人与兖州区政府签订了委托代建协议，市政工程业务的毛利率比较稳定，能带来较为稳定的利润，但是由于发行人市政工程收入来源过于集中，存在项目开工不及预期、项目结算进度缓慢导致发行人业务增长受限的风险。2024年、2025年和2026年1-6月，发行人营业毛利率分别为8.35%、12.37%和13.28%。</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16、运营效率较低的风险。2024年、2025年和2026年1-6月，公司应收账款周转率分别为0.36、0.20和0.06，存货周转率分别为0.31、0.26和0.09，整体来看，上述运营效率指标处于较低水平。公司运营效率较低主要是由其经营业务特点决定，随着经营规模的扩大，发行人市政工程建设项目投入规模较大而项目回款周期较长，存货及应收账款余额较高。</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17、转让土地使用权业务未来收入不稳定的风险。2024年、2025年和2026年1-6月，发行人转让土地使用权业务收入分别为4,282.30万元、57,102.71万元和0.00万元，占当期营业收入的比例分别为0.80%、16.67%和0.00%。发行人的转让土地使用权业务由政府统筹规划，每年按照政府规划有序转让土地使用权，未来的土地转让业务收入具有一定的不确定性，可能对发行人盈利能力造成不利影响。</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十五、人员配备</w:t>
      </w:r>
    </w:p>
    <w:tbl>
      <w:tblPr>
        <w:tblStyle w:val="TableGrid"/>
        <w:tblW w:type="auto" w:w="0"/>
        <w:tblLook w:firstColumn="1" w:firstRow="1" w:lastColumn="0" w:lastRow="0" w:noHBand="0" w:noVBand="1" w:val="04A0"/>
      </w:tblPr>
      <w:tblGrid>
        <w:gridCol w:w="1530"/>
        <w:gridCol w:w="1530"/>
        <w:gridCol w:w="1530"/>
        <w:gridCol w:w="1530"/>
        <w:gridCol w:w="1530"/>
        <w:gridCol w:w="1530"/>
      </w:tblGrid>
      <w:tr>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序号</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姓名</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职位</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学历</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经验年限</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工作内容</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余之悠</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承做岗</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硕士研究生</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11</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尽职调查、申报材料撰写、工作底稿整理、反馈回复及销售</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殷柏林</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承做岗</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硕士研究生</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8</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尽职调查、申报材料撰写、工作底稿整理、反馈回复及销售</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韦欣怡</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承做岗</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硕士研究生</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4</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尽职调查、申报材料撰写、工作底稿整理、反馈回复及销售</w:t>
            </w:r>
          </w:p>
        </w:tc>
      </w:tr>
    </w:tbl>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十六、项目时间安排表</w:t>
      </w:r>
    </w:p>
    <w:tbl>
      <w:tblPr>
        <w:tblStyle w:val="TableGrid"/>
        <w:tblW w:type="auto" w:w="0"/>
        <w:tblLook w:firstColumn="1" w:firstRow="1" w:lastColumn="0" w:lastRow="0" w:noHBand="0" w:noVBand="1" w:val="04A0"/>
      </w:tblPr>
      <w:tblGrid>
        <w:gridCol w:w="3060"/>
        <w:gridCol w:w="3060"/>
        <w:gridCol w:w="3060"/>
      </w:tblGrid>
      <w:tr>
        <w:tc>
          <w:tcPr>
            <w:tcW w:type="dxa" w:w="306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阶段</w:t>
            </w:r>
          </w:p>
        </w:tc>
        <w:tc>
          <w:tcPr>
            <w:tcW w:type="dxa" w:w="306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计划时间</w:t>
            </w:r>
          </w:p>
        </w:tc>
        <w:tc>
          <w:tcPr>
            <w:tcW w:type="dxa" w:w="306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工作内容</w:t>
            </w:r>
          </w:p>
        </w:tc>
      </w:tr>
      <w:tr>
        <w:tc>
          <w:tcPr>
            <w:tcW w:type="dxa" w:w="306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现场工作阶段</w:t>
            </w:r>
          </w:p>
        </w:tc>
        <w:tc>
          <w:tcPr>
            <w:tcW w:type="dxa" w:w="3060"/>
          </w:tcPr>
          <w:p>
            <w:pPr>
              <w:spacing w:line="360" w:lineRule="auto" w:after="80"/>
              <w:rPr>
                <w:rFonts w:ascii="仿宋_GB2312" w:hAnsi="仿宋_GB2312" w:eastAsia="仿宋_GB2312" w:cs="仿宋_GB2312"/>
                <w:sz w:val="20"/>
                <w:szCs w:val="20"/>
              </w:rPr>
            </w:pPr>
            <w:r/>
            <w:del w:id="37" w:author="冯佳淇" w:date="2026-08-28T08:00:00Z">
              <w:r>
                <w:rPr>
                  <w:rFonts w:ascii="仿宋_GB2312" w:hAnsi="仿宋_GB2312" w:eastAsia="仿宋_GB2312" w:cs="仿宋_GB2312"/>
                  <w:sz w:val="20"/>
                  <w:szCs w:val="20"/>
                </w:rPr>
                <w:delText xml:space="preserve">2026年4月中旬-6月下旬</w:delText>
              </w:r>
            </w:del>
            <w:ins w:id="38" w:author="冯佳淇" w:date="2026-08-28T08:00:00Z">
              <w:r>
                <w:rPr>
                  <w:rFonts w:ascii="仿宋_GB2312" w:hAnsi="仿宋_GB2312" w:eastAsia="仿宋_GB2312" w:cs="仿宋_GB2312"/>
                  <w:sz w:val="20"/>
                  <w:szCs w:val="20"/>
                </w:rPr>
                <w:t xml:space="preserve">2026年4月-8月</w:t>
              </w:r>
            </w:ins>
          </w:p>
        </w:tc>
        <w:tc>
          <w:tcPr>
            <w:tcW w:type="dxa" w:w="306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尽职调查、方案拟定、资料收集、内部文件及募集说明书撰写</w:t>
            </w:r>
          </w:p>
        </w:tc>
      </w:tr>
      <w:tr>
        <w:tc>
          <w:tcPr>
            <w:tcW w:type="dxa" w:w="306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内核审核阶段</w:t>
            </w:r>
          </w:p>
        </w:tc>
        <w:tc>
          <w:tcPr>
            <w:tcW w:type="dxa" w:w="3060"/>
          </w:tcPr>
          <w:p>
            <w:pPr>
              <w:spacing w:line="360" w:lineRule="auto" w:after="80"/>
              <w:rPr>
                <w:rFonts w:ascii="仿宋_GB2312" w:hAnsi="仿宋_GB2312" w:eastAsia="仿宋_GB2312" w:cs="仿宋_GB2312"/>
                <w:sz w:val="20"/>
                <w:szCs w:val="20"/>
              </w:rPr>
            </w:pPr>
            <w:r/>
            <w:del w:id="39" w:author="冯佳淇" w:date="2026-08-28T08:00:00Z">
              <w:r>
                <w:rPr>
                  <w:rFonts w:ascii="仿宋_GB2312" w:hAnsi="仿宋_GB2312" w:eastAsia="仿宋_GB2312" w:cs="仿宋_GB2312"/>
                  <w:sz w:val="20"/>
                  <w:szCs w:val="20"/>
                </w:rPr>
                <w:delText xml:space="preserve">2026年7月上旬-7月中旬</w:delText>
              </w:r>
            </w:del>
            <w:ins w:id="40" w:author="冯佳淇" w:date="2026-08-28T08:00:00Z">
              <w:r>
                <w:rPr>
                  <w:rFonts w:ascii="仿宋_GB2312" w:hAnsi="仿宋_GB2312" w:eastAsia="仿宋_GB2312" w:cs="仿宋_GB2312"/>
                  <w:sz w:val="20"/>
                  <w:szCs w:val="20"/>
                </w:rPr>
                <w:t xml:space="preserve">2026年8月下旬-9月上旬</w:t>
              </w:r>
            </w:ins>
          </w:p>
        </w:tc>
        <w:tc>
          <w:tcPr>
            <w:tcW w:type="dxa" w:w="306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法律意见书、全套申报材料及内核程序</w:t>
            </w:r>
          </w:p>
        </w:tc>
      </w:tr>
      <w:tr>
        <w:tc>
          <w:tcPr>
            <w:tcW w:type="dxa" w:w="306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反馈注册阶段</w:t>
            </w:r>
          </w:p>
        </w:tc>
        <w:tc>
          <w:tcPr>
            <w:tcW w:type="dxa" w:w="3060"/>
          </w:tcPr>
          <w:p>
            <w:pPr>
              <w:spacing w:line="360" w:lineRule="auto" w:after="80"/>
              <w:rPr>
                <w:rFonts w:ascii="仿宋_GB2312" w:hAnsi="仿宋_GB2312" w:eastAsia="仿宋_GB2312" w:cs="仿宋_GB2312"/>
                <w:sz w:val="20"/>
                <w:szCs w:val="20"/>
              </w:rPr>
            </w:pPr>
            <w:r/>
            <w:del w:id="41" w:author="冯佳淇" w:date="2026-08-28T08:00:00Z">
              <w:r>
                <w:rPr>
                  <w:rFonts w:ascii="仿宋_GB2312" w:hAnsi="仿宋_GB2312" w:eastAsia="仿宋_GB2312" w:cs="仿宋_GB2312"/>
                  <w:sz w:val="20"/>
                  <w:szCs w:val="20"/>
                </w:rPr>
                <w:delText xml:space="preserve">2026年7月下旬-9月上旬</w:delText>
              </w:r>
            </w:del>
            <w:ins w:id="42" w:author="冯佳淇" w:date="2026-08-28T08:00:00Z">
              <w:r>
                <w:rPr>
                  <w:rFonts w:ascii="仿宋_GB2312" w:hAnsi="仿宋_GB2312" w:eastAsia="仿宋_GB2312" w:cs="仿宋_GB2312"/>
                  <w:sz w:val="20"/>
                  <w:szCs w:val="20"/>
                </w:rPr>
                <w:t xml:space="preserve">2026年9月-10月</w:t>
              </w:r>
            </w:ins>
          </w:p>
        </w:tc>
        <w:tc>
          <w:tcPr>
            <w:tcW w:type="dxa" w:w="306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申报交易所、回复反馈、取得批文</w:t>
            </w:r>
          </w:p>
        </w:tc>
      </w:tr>
      <w:tr>
        <w:tc>
          <w:tcPr>
            <w:tcW w:type="dxa" w:w="306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发行阶段</w:t>
            </w:r>
          </w:p>
        </w:tc>
        <w:tc>
          <w:tcPr>
            <w:tcW w:type="dxa" w:w="306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批文有效期内</w:t>
            </w:r>
          </w:p>
        </w:tc>
        <w:tc>
          <w:tcPr>
            <w:tcW w:type="dxa" w:w="306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债券批文有效期为1年，根据公司需求及市场利率走势确定具体发行时间</w:t>
            </w:r>
          </w:p>
        </w:tc>
      </w:tr>
    </w:tbl>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十七、收费情况</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本次债券承销费及受托管理报酬合计为0.20%/年。甬兴证券有限公司为牵头主承销商、受托管理人、簿记管理人，德邦证券股份有限公司为联席主承销商。按获批规模67,800万元、期限5年测算，本项目预计收入为678万元。</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十八、判断结论</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济宁市兖州区惠民城建投资有限公司符合非公开发行公司债券的基本条件。发行人属于济宁市兖州区</w:t>
      </w:r>
      <w:del w:id="43" w:author="冯佳淇" w:date="2026-08-28T08:00:00Z">
        <w:r>
          <w:rPr>
            <w:rFonts w:ascii="仿宋_GB2312" w:hAnsi="仿宋_GB2312" w:eastAsia="仿宋_GB2312" w:cs="仿宋_GB2312"/>
            <w:sz w:val="24"/>
            <w:szCs w:val="24"/>
          </w:rPr>
          <w:delText xml:space="preserve">国有资产监督管理局</w:delText>
        </w:r>
      </w:del>
      <w:ins w:id="44" w:author="冯佳淇" w:date="2026-08-28T08:00:00Z">
        <w:r>
          <w:rPr>
            <w:rFonts w:ascii="仿宋_GB2312" w:hAnsi="仿宋_GB2312" w:eastAsia="仿宋_GB2312" w:cs="仿宋_GB2312"/>
            <w:sz w:val="24"/>
            <w:szCs w:val="24"/>
          </w:rPr>
          <w:t xml:space="preserve">财政局</w:t>
        </w:r>
      </w:ins>
      <w:r>
        <w:rPr>
          <w:rFonts w:ascii="仿宋_GB2312" w:hAnsi="仿宋_GB2312" w:eastAsia="仿宋_GB2312" w:cs="仿宋_GB2312"/>
          <w:sz w:val="24"/>
          <w:szCs w:val="24"/>
        </w:rPr>
        <w:t xml:space="preserve">实际控制的国有企业。发行人经营收入、外部筹资及股东支持将为本次公司债券的还本付息提供保障。</w:t>
      </w:r>
    </w:p>
    <w:p>
      <w:pPr>
        <w:spacing w:line="360" w:lineRule="auto" w:after="80"/>
        <w:ind w:firstLine="420"/>
        <w:rPr>
          <w:rFonts w:ascii="仿宋_GB2312" w:hAnsi="仿宋_GB2312" w:eastAsia="仿宋_GB2312" w:cs="仿宋_GB2312"/>
          <w:sz w:val="24"/>
          <w:szCs w:val="24"/>
        </w:rPr>
      </w:pPr>
      <w:del w:id="45" w:author="冯佳淇" w:date="2026-08-28T08:00:00Z">
        <w:r>
          <w:rPr>
            <w:rFonts w:ascii="仿宋_GB2312" w:hAnsi="仿宋_GB2312" w:eastAsia="仿宋_GB2312" w:cs="仿宋_GB2312"/>
            <w:sz w:val="24"/>
            <w:szCs w:val="24"/>
          </w:rPr>
          <w:delText xml:space="preserve">本次债券由我司作为独家主承销商、受托管理人，本次债券预计收益为678万元，将为公司带来较好收益。</w:delText>
        </w:r>
      </w:del>
      <w:ins w:id="46" w:author="冯佳淇" w:date="2026-08-28T08:00:00Z">
        <w:r>
          <w:rPr>
            <w:rFonts w:ascii="仿宋_GB2312" w:hAnsi="仿宋_GB2312" w:eastAsia="仿宋_GB2312" w:cs="仿宋_GB2312"/>
            <w:sz w:val="24"/>
            <w:szCs w:val="24"/>
          </w:rPr>
          <w:t xml:space="preserve">本次债券由甬兴证券有限公司作为牵头主承销商、受托管理人、簿记管理人，德邦证券股份有限公司作为联席主承销商，预计收益为678万元。</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综上，本项目风险总体可控，可操作性较强，可以为我司带来较为合理的收入，建议立项。</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济宁市兖州区惠民城建投资有限公司非公开发行公司债券项目立项申请报告</dc:title>
  <dc:subject/>
  <dc:creator>冯佳淇</dc:creator>
  <cp:keywords/>
  <dc:description>generated by python-docx</dc:description>
  <cp:lastModifiedBy>冯佳淇</cp:lastModifiedBy>
  <cp:revision>5</cp:revision>
  <dcterms:created xsi:type="dcterms:W3CDTF">2026-05-13T00:00:00Z</dcterms:created>
  <dcterms:modified xsi:type="dcterms:W3CDTF">2026-08-28T00:00:00Z</dcterms:modified>
  <cp:category/>
</cp:coreProperties>
</file>