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 DA VIGÊNCIA: 04/02/2026</w:t>
              <w:br/>
            </w:r>
            <w:r>
              <w:rPr>
                <w:b/>
                <w:sz w:val="20"/>
                <w:szCs w:val="20"/>
              </w:rPr>
              <w:t>04/02/2026</w:t>
            </w:r>
            <w:r>
              <w:rPr>
                <w:rFonts w:ascii="Calibri" w:hAnsi="Calibri"/>
                <w:spacing w:val="-12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pacing w:val="3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